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047728">
      <w:pPr>
        <w:pBdr>
          <w:top w:val="none" w:color="auto" w:sz="0" w:space="0"/>
          <w:left w:val="none" w:color="auto" w:sz="0" w:space="0"/>
          <w:bottom w:val="none" w:color="auto" w:sz="0" w:space="0"/>
          <w:right w:val="none" w:color="auto" w:sz="0" w:space="0"/>
          <w:between w:val="none" w:color="auto" w:sz="0" w:space="0"/>
        </w:pBdr>
        <w:tabs>
          <w:tab w:val="left" w:pos="5460"/>
        </w:tabs>
        <w:spacing w:before="360" w:after="240" w:line="400" w:lineRule="auto"/>
        <w:rPr>
          <w:color w:val="000000"/>
          <w:sz w:val="34"/>
          <w:szCs w:val="34"/>
        </w:rPr>
      </w:pPr>
      <w:bookmarkStart w:id="0" w:name="_heading=h.gjdgxs" w:colFirst="0" w:colLast="0"/>
      <w:bookmarkEnd w:id="0"/>
      <w:r>
        <w:rPr>
          <w:color w:val="000000"/>
          <w:sz w:val="34"/>
          <w:szCs w:val="34"/>
        </w:rPr>
        <w:tab/>
      </w:r>
    </w:p>
    <w:p w14:paraId="015C2AC1">
      <w:pPr>
        <w:pBdr>
          <w:top w:val="none" w:color="auto" w:sz="0" w:space="0"/>
          <w:left w:val="none" w:color="auto" w:sz="0" w:space="0"/>
          <w:bottom w:val="none" w:color="auto" w:sz="0" w:space="0"/>
          <w:right w:val="none" w:color="auto" w:sz="0" w:space="0"/>
          <w:between w:val="none" w:color="auto" w:sz="0" w:space="0"/>
        </w:pBdr>
        <w:spacing w:after="0" w:line="400" w:lineRule="auto"/>
        <w:rPr>
          <w:color w:val="000000"/>
          <w:sz w:val="34"/>
          <w:szCs w:val="34"/>
        </w:rPr>
      </w:pPr>
    </w:p>
    <w:p w14:paraId="47E0CCE9">
      <w:pPr>
        <w:pBdr>
          <w:top w:val="none" w:color="auto" w:sz="0" w:space="0"/>
          <w:left w:val="none" w:color="auto" w:sz="0" w:space="0"/>
          <w:bottom w:val="none" w:color="auto" w:sz="0" w:space="0"/>
          <w:right w:val="none" w:color="auto" w:sz="0" w:space="0"/>
          <w:between w:val="none" w:color="auto" w:sz="0" w:space="0"/>
        </w:pBdr>
        <w:spacing w:after="0" w:line="400" w:lineRule="auto"/>
        <w:rPr>
          <w:color w:val="000000"/>
          <w:sz w:val="34"/>
          <w:szCs w:val="34"/>
        </w:rPr>
      </w:pPr>
      <w:r>
        <w:rPr>
          <w:i/>
          <w:iCs/>
          <w:color w:val="000000"/>
          <w:sz w:val="34"/>
          <w:szCs w:val="34"/>
        </w:rPr>
        <w:t>Mental Accounting</w:t>
      </w:r>
      <w:r>
        <w:rPr>
          <w:color w:val="000000"/>
          <w:sz w:val="34"/>
          <w:szCs w:val="34"/>
        </w:rPr>
        <w:t>, Literasi Keuangan dan Inklusi Keuangan Terhadap Perilaku Keuangan Mahasiswa Akuntansi</w:t>
      </w:r>
    </w:p>
    <w:p w14:paraId="1621D33A">
      <w:pPr>
        <w:keepNext/>
        <w:pBdr>
          <w:top w:val="none" w:color="auto" w:sz="0" w:space="0"/>
          <w:left w:val="none" w:color="auto" w:sz="0" w:space="0"/>
          <w:bottom w:val="none" w:color="auto" w:sz="0" w:space="0"/>
          <w:right w:val="none" w:color="auto" w:sz="0" w:space="0"/>
          <w:between w:val="none" w:color="auto" w:sz="0" w:space="0"/>
        </w:pBdr>
        <w:spacing w:line="300" w:lineRule="auto"/>
        <w:ind w:right="2"/>
        <w:rPr>
          <w:color w:val="000000"/>
        </w:rPr>
      </w:pPr>
      <w:r>
        <w:rPr>
          <w:color w:val="000000"/>
        </w:rPr>
        <w:t xml:space="preserve">Lisa Citra Dewi Kartini </w:t>
      </w:r>
      <w:r>
        <w:rPr>
          <w:color w:val="000000"/>
          <w:vertAlign w:val="superscript"/>
        </w:rPr>
        <w:t>a,1,</w:t>
      </w:r>
      <w:r>
        <w:rPr>
          <w:color w:val="000000"/>
        </w:rPr>
        <w:t>, Kholidiah</w:t>
      </w:r>
      <w:r>
        <w:rPr>
          <w:color w:val="000000"/>
          <w:vertAlign w:val="superscript"/>
        </w:rPr>
        <w:t>b,2*</w:t>
      </w:r>
    </w:p>
    <w:p w14:paraId="2AB10913">
      <w:pPr>
        <w:pBdr>
          <w:top w:val="none" w:color="auto" w:sz="0" w:space="0"/>
          <w:left w:val="none" w:color="auto" w:sz="0" w:space="0"/>
          <w:bottom w:val="none" w:color="auto" w:sz="0" w:space="0"/>
          <w:right w:val="none" w:color="auto" w:sz="0" w:space="0"/>
          <w:between w:val="none" w:color="auto" w:sz="0" w:space="0"/>
        </w:pBdr>
        <w:spacing w:after="0" w:line="200" w:lineRule="auto"/>
        <w:rPr>
          <w:i/>
          <w:color w:val="000000"/>
          <w:sz w:val="14"/>
          <w:szCs w:val="14"/>
        </w:rPr>
      </w:pPr>
      <w:r>
        <w:rPr>
          <w:color w:val="000000"/>
          <w:sz w:val="14"/>
          <w:szCs w:val="14"/>
          <w:vertAlign w:val="superscript"/>
        </w:rPr>
        <w:t xml:space="preserve">a </w:t>
      </w:r>
      <w:r>
        <w:rPr>
          <w:color w:val="000000"/>
          <w:sz w:val="14"/>
          <w:szCs w:val="14"/>
        </w:rPr>
        <w:t xml:space="preserve"> </w:t>
      </w:r>
      <w:r>
        <w:rPr>
          <w:rFonts w:hint="default"/>
          <w:color w:val="000000"/>
          <w:sz w:val="14"/>
          <w:szCs w:val="14"/>
          <w:lang w:val="en-US"/>
        </w:rPr>
        <w:t xml:space="preserve"> Universitas Wijaya Kusuma Surabaya </w:t>
      </w:r>
    </w:p>
    <w:p w14:paraId="32BD5368">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r>
        <w:rPr>
          <w:color w:val="000000"/>
          <w:sz w:val="14"/>
          <w:szCs w:val="14"/>
          <w:vertAlign w:val="superscript"/>
        </w:rPr>
        <w:t>b</w:t>
      </w:r>
      <w:r>
        <w:rPr>
          <w:color w:val="000000"/>
          <w:sz w:val="14"/>
          <w:szCs w:val="14"/>
        </w:rPr>
        <w:t xml:space="preserve"> </w:t>
      </w:r>
      <w:r>
        <w:rPr>
          <w:rFonts w:hint="default"/>
          <w:color w:val="000000"/>
          <w:sz w:val="14"/>
          <w:szCs w:val="14"/>
          <w:lang w:val="en-US"/>
        </w:rPr>
        <w:t xml:space="preserve"> Universitas Wijaya Kusuma Surabaya</w:t>
      </w:r>
    </w:p>
    <w:p w14:paraId="24357EA5">
      <w:pPr>
        <w:pBdr>
          <w:top w:val="none" w:color="auto" w:sz="0" w:space="0"/>
          <w:left w:val="none" w:color="auto" w:sz="0" w:space="0"/>
          <w:bottom w:val="none" w:color="auto" w:sz="0" w:space="0"/>
          <w:right w:val="none" w:color="auto" w:sz="0" w:space="0"/>
          <w:between w:val="none" w:color="auto" w:sz="0" w:space="0"/>
        </w:pBdr>
        <w:spacing w:after="0" w:line="200" w:lineRule="auto"/>
        <w:rPr>
          <w:rFonts w:hint="default"/>
          <w:i/>
          <w:color w:val="000000"/>
          <w:sz w:val="14"/>
          <w:szCs w:val="14"/>
          <w:lang w:val="en-US"/>
        </w:rPr>
      </w:pPr>
      <w:r>
        <w:rPr>
          <w:color w:val="000000"/>
          <w:sz w:val="14"/>
          <w:szCs w:val="14"/>
          <w:vertAlign w:val="superscript"/>
        </w:rPr>
        <w:t>1</w:t>
      </w:r>
      <w:r>
        <w:rPr>
          <w:color w:val="000000"/>
          <w:sz w:val="14"/>
          <w:szCs w:val="14"/>
        </w:rPr>
        <w:t xml:space="preserve"> </w:t>
      </w:r>
      <w:r>
        <w:rPr>
          <w:rFonts w:hint="default"/>
          <w:color w:val="000000"/>
          <w:sz w:val="14"/>
          <w:szCs w:val="14"/>
          <w:lang w:val="en-US"/>
        </w:rPr>
        <w:t xml:space="preserve"> </w:t>
      </w:r>
      <w:r>
        <w:rPr>
          <w:color w:val="000000"/>
          <w:sz w:val="14"/>
          <w:szCs w:val="14"/>
        </w:rPr>
        <w:t xml:space="preserve">lisacitradk@gmail.com; </w:t>
      </w:r>
      <w:r>
        <w:rPr>
          <w:color w:val="000000"/>
          <w:sz w:val="14"/>
          <w:szCs w:val="14"/>
          <w:vertAlign w:val="superscript"/>
        </w:rPr>
        <w:t xml:space="preserve">2 </w:t>
      </w:r>
      <w:r>
        <w:rPr>
          <w:rFonts w:hint="default"/>
          <w:color w:val="000000"/>
          <w:sz w:val="14"/>
          <w:szCs w:val="14"/>
          <w:lang w:val="en-US"/>
        </w:rPr>
        <w:t>kholidiah@uwks.ac.id</w:t>
      </w:r>
    </w:p>
    <w:p w14:paraId="33484CD2">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r>
        <w:rPr>
          <w:color w:val="000000"/>
          <w:sz w:val="14"/>
          <w:szCs w:val="14"/>
        </w:rPr>
        <w:t>* corresponding author</w:t>
      </w:r>
    </w:p>
    <w:p w14:paraId="77B7D5B3"/>
    <w:tbl>
      <w:tblPr>
        <w:tblStyle w:val="57"/>
        <w:tblpPr w:leftFromText="187" w:rightFromText="187" w:bottomFromText="187" w:vertAnchor="text" w:tblpY="1"/>
        <w:tblW w:w="8793" w:type="dxa"/>
        <w:tblInd w:w="0"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0" w:type="dxa"/>
          <w:bottom w:w="0" w:type="dxa"/>
          <w:right w:w="0" w:type="dxa"/>
        </w:tblCellMar>
      </w:tblPr>
      <w:tblGrid>
        <w:gridCol w:w="2330"/>
        <w:gridCol w:w="273"/>
        <w:gridCol w:w="6057"/>
        <w:gridCol w:w="133"/>
      </w:tblGrid>
      <w:tr w14:paraId="4EB8890F">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0" w:type="dxa"/>
            <w:bottom w:w="0" w:type="dxa"/>
            <w:right w:w="0" w:type="dxa"/>
          </w:tblCellMar>
        </w:tblPrEx>
        <w:trPr>
          <w:trHeight w:val="730" w:hRule="atLeast"/>
        </w:trPr>
        <w:tc>
          <w:tcPr>
            <w:tcW w:w="2330" w:type="dxa"/>
            <w:tcBorders>
              <w:top w:val="single" w:color="7030A0" w:sz="6" w:space="0"/>
              <w:bottom w:val="single" w:color="7030A0" w:sz="6" w:space="0"/>
            </w:tcBorders>
            <w:vAlign w:val="center"/>
          </w:tcPr>
          <w:p w14:paraId="628E23D2">
            <w:pPr>
              <w:pBdr>
                <w:top w:val="none" w:color="auto" w:sz="0" w:space="0"/>
                <w:left w:val="none" w:color="auto" w:sz="0" w:space="0"/>
                <w:bottom w:val="none" w:color="auto" w:sz="0" w:space="0"/>
                <w:right w:val="none" w:color="auto" w:sz="0" w:space="0"/>
                <w:between w:val="none" w:color="auto" w:sz="0" w:space="0"/>
              </w:pBdr>
              <w:spacing w:after="0" w:line="240" w:lineRule="auto"/>
              <w:rPr>
                <w:smallCaps/>
                <w:color w:val="000000"/>
                <w:sz w:val="18"/>
                <w:szCs w:val="18"/>
              </w:rPr>
            </w:pPr>
            <w:r>
              <w:rPr>
                <w:smallCaps/>
                <w:color w:val="000000"/>
                <w:sz w:val="18"/>
                <w:szCs w:val="18"/>
              </w:rPr>
              <w:t>INFO ARTIKEL</w:t>
            </w:r>
          </w:p>
        </w:tc>
        <w:tc>
          <w:tcPr>
            <w:tcW w:w="273" w:type="dxa"/>
            <w:tcBorders>
              <w:top w:val="single" w:color="7030A0" w:sz="6" w:space="0"/>
              <w:bottom w:val="nil"/>
            </w:tcBorders>
          </w:tcPr>
          <w:p w14:paraId="0201096F">
            <w:pPr>
              <w:pBdr>
                <w:top w:val="none" w:color="auto" w:sz="0" w:space="0"/>
                <w:left w:val="none" w:color="auto" w:sz="0" w:space="0"/>
                <w:bottom w:val="none" w:color="auto" w:sz="0" w:space="0"/>
                <w:right w:val="none" w:color="auto" w:sz="0" w:space="0"/>
                <w:between w:val="none" w:color="auto" w:sz="0" w:space="0"/>
              </w:pBdr>
              <w:spacing w:after="0" w:line="240" w:lineRule="auto"/>
              <w:rPr>
                <w:b/>
                <w:smallCaps/>
                <w:color w:val="000000"/>
                <w:sz w:val="20"/>
                <w:szCs w:val="20"/>
              </w:rPr>
            </w:pPr>
          </w:p>
        </w:tc>
        <w:tc>
          <w:tcPr>
            <w:tcW w:w="6057" w:type="dxa"/>
            <w:tcBorders>
              <w:top w:val="single" w:color="7030A0" w:sz="6" w:space="0"/>
              <w:bottom w:val="single" w:color="7030A0" w:sz="6" w:space="0"/>
            </w:tcBorders>
            <w:tcMar>
              <w:left w:w="240" w:type="dxa"/>
            </w:tcMar>
            <w:vAlign w:val="center"/>
          </w:tcPr>
          <w:p w14:paraId="7CD38824">
            <w:pPr>
              <w:pBdr>
                <w:top w:val="none" w:color="auto" w:sz="0" w:space="0"/>
                <w:left w:val="none" w:color="auto" w:sz="0" w:space="0"/>
                <w:bottom w:val="none" w:color="auto" w:sz="0" w:space="0"/>
                <w:right w:val="none" w:color="auto" w:sz="0" w:space="0"/>
                <w:between w:val="none" w:color="auto" w:sz="0" w:space="0"/>
              </w:pBdr>
              <w:spacing w:after="0" w:line="240" w:lineRule="auto"/>
              <w:rPr>
                <w:b/>
                <w:smallCaps/>
                <w:color w:val="000000"/>
                <w:sz w:val="20"/>
                <w:szCs w:val="20"/>
              </w:rPr>
            </w:pPr>
            <w:r>
              <w:rPr>
                <w:smallCaps/>
                <w:color w:val="000000"/>
                <w:sz w:val="20"/>
                <w:szCs w:val="20"/>
              </w:rPr>
              <w:t xml:space="preserve">ABSTRAK </w:t>
            </w:r>
          </w:p>
        </w:tc>
        <w:tc>
          <w:tcPr>
            <w:tcW w:w="133" w:type="dxa"/>
            <w:tcBorders>
              <w:top w:val="single" w:color="7030A0" w:sz="6" w:space="0"/>
              <w:bottom w:val="single" w:color="7030A0" w:sz="6" w:space="0"/>
            </w:tcBorders>
          </w:tcPr>
          <w:p w14:paraId="5A1ABC59">
            <w:pPr>
              <w:pBdr>
                <w:top w:val="none" w:color="auto" w:sz="0" w:space="0"/>
                <w:left w:val="none" w:color="auto" w:sz="0" w:space="0"/>
                <w:bottom w:val="none" w:color="auto" w:sz="0" w:space="0"/>
                <w:right w:val="none" w:color="auto" w:sz="0" w:space="0"/>
                <w:between w:val="none" w:color="auto" w:sz="0" w:space="0"/>
              </w:pBdr>
              <w:spacing w:after="0" w:line="240" w:lineRule="auto"/>
              <w:rPr>
                <w:smallCaps/>
                <w:color w:val="000000"/>
                <w:sz w:val="20"/>
                <w:szCs w:val="20"/>
              </w:rPr>
            </w:pPr>
          </w:p>
        </w:tc>
      </w:tr>
      <w:tr w14:paraId="3F01AC3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0" w:type="dxa"/>
            <w:bottom w:w="0" w:type="dxa"/>
            <w:right w:w="0" w:type="dxa"/>
          </w:tblCellMar>
        </w:tblPrEx>
        <w:trPr>
          <w:cantSplit/>
          <w:trHeight w:val="1082" w:hRule="atLeast"/>
        </w:trPr>
        <w:tc>
          <w:tcPr>
            <w:tcW w:w="2330" w:type="dxa"/>
            <w:tcBorders>
              <w:top w:val="single" w:color="7030A0" w:sz="6" w:space="0"/>
              <w:bottom w:val="nil"/>
            </w:tcBorders>
            <w:shd w:val="clear" w:color="auto" w:fill="auto"/>
            <w:tcMar>
              <w:top w:w="72" w:type="dxa"/>
            </w:tcMar>
          </w:tcPr>
          <w:p w14:paraId="186EDF6A">
            <w:pPr>
              <w:pBdr>
                <w:top w:val="none" w:color="auto" w:sz="0" w:space="0"/>
                <w:left w:val="none" w:color="auto" w:sz="0" w:space="0"/>
                <w:bottom w:val="none" w:color="auto" w:sz="0" w:space="0"/>
                <w:right w:val="none" w:color="auto" w:sz="0" w:space="0"/>
                <w:between w:val="none" w:color="auto" w:sz="0" w:space="0"/>
              </w:pBdr>
              <w:spacing w:after="0" w:line="200" w:lineRule="auto"/>
              <w:rPr>
                <w:b/>
                <w:color w:val="000000"/>
                <w:sz w:val="14"/>
                <w:szCs w:val="14"/>
              </w:rPr>
            </w:pPr>
          </w:p>
          <w:p w14:paraId="707DAC9D">
            <w:pPr>
              <w:pBdr>
                <w:top w:val="none" w:color="auto" w:sz="0" w:space="0"/>
                <w:left w:val="none" w:color="auto" w:sz="0" w:space="0"/>
                <w:bottom w:val="none" w:color="auto" w:sz="0" w:space="0"/>
                <w:right w:val="none" w:color="auto" w:sz="0" w:space="0"/>
                <w:between w:val="none" w:color="auto" w:sz="0" w:space="0"/>
              </w:pBdr>
              <w:spacing w:after="0" w:line="200" w:lineRule="auto"/>
              <w:rPr>
                <w:b/>
                <w:color w:val="000000"/>
                <w:sz w:val="14"/>
                <w:szCs w:val="14"/>
              </w:rPr>
            </w:pPr>
            <w:r>
              <w:rPr>
                <w:b/>
                <w:color w:val="000000"/>
                <w:sz w:val="14"/>
                <w:szCs w:val="14"/>
              </w:rPr>
              <w:t>Kemajuan Artikel</w:t>
            </w:r>
          </w:p>
          <w:p w14:paraId="2053EB56">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r>
              <w:rPr>
                <w:color w:val="000000"/>
                <w:sz w:val="14"/>
                <w:szCs w:val="14"/>
              </w:rPr>
              <w:t>Masuk       : Januari 2025</w:t>
            </w:r>
          </w:p>
          <w:p w14:paraId="4E781616">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r>
              <w:rPr>
                <w:color w:val="000000"/>
                <w:sz w:val="14"/>
                <w:szCs w:val="14"/>
              </w:rPr>
              <w:t xml:space="preserve">Diperbaiki : Januari 2025  </w:t>
            </w:r>
          </w:p>
          <w:p w14:paraId="6FF42DA5">
            <w:pPr>
              <w:pBdr>
                <w:top w:val="none" w:color="auto" w:sz="0" w:space="0"/>
                <w:left w:val="none" w:color="auto" w:sz="0" w:space="0"/>
                <w:bottom w:val="none" w:color="auto" w:sz="0" w:space="0"/>
                <w:right w:val="none" w:color="auto" w:sz="0" w:space="0"/>
                <w:between w:val="none" w:color="auto" w:sz="0" w:space="0"/>
              </w:pBdr>
              <w:spacing w:after="0" w:line="200" w:lineRule="auto"/>
              <w:rPr>
                <w:i/>
                <w:color w:val="000000"/>
                <w:sz w:val="14"/>
                <w:szCs w:val="14"/>
              </w:rPr>
            </w:pPr>
            <w:r>
              <w:rPr>
                <w:color w:val="000000"/>
                <w:sz w:val="14"/>
                <w:szCs w:val="14"/>
              </w:rPr>
              <w:t>Diterima</w:t>
            </w:r>
          </w:p>
        </w:tc>
        <w:tc>
          <w:tcPr>
            <w:tcW w:w="273" w:type="dxa"/>
            <w:tcBorders>
              <w:top w:val="nil"/>
              <w:bottom w:val="nil"/>
            </w:tcBorders>
            <w:shd w:val="clear" w:color="auto" w:fill="auto"/>
          </w:tcPr>
          <w:p w14:paraId="0588031D">
            <w:pPr>
              <w:pBdr>
                <w:top w:val="none" w:color="auto" w:sz="0" w:space="0"/>
                <w:left w:val="none" w:color="auto" w:sz="0" w:space="0"/>
                <w:bottom w:val="none" w:color="auto" w:sz="0" w:space="0"/>
                <w:right w:val="none" w:color="auto" w:sz="0" w:space="0"/>
                <w:between w:val="none" w:color="auto" w:sz="0" w:space="0"/>
              </w:pBdr>
              <w:spacing w:after="80" w:line="200" w:lineRule="auto"/>
              <w:ind w:right="144"/>
              <w:jc w:val="both"/>
              <w:rPr>
                <w:color w:val="000000"/>
                <w:sz w:val="20"/>
                <w:szCs w:val="20"/>
              </w:rPr>
            </w:pPr>
          </w:p>
        </w:tc>
        <w:tc>
          <w:tcPr>
            <w:tcW w:w="6057" w:type="dxa"/>
            <w:vMerge w:val="restart"/>
            <w:tcBorders>
              <w:top w:val="single" w:color="7030A0" w:sz="6" w:space="0"/>
              <w:bottom w:val="single" w:color="000000" w:sz="8" w:space="0"/>
            </w:tcBorders>
            <w:shd w:val="clear" w:color="auto" w:fill="DEEBF6"/>
            <w:tcMar>
              <w:left w:w="240" w:type="dxa"/>
            </w:tcMar>
          </w:tcPr>
          <w:p w14:paraId="768F4131">
            <w:pPr>
              <w:pStyle w:val="15"/>
              <w:jc w:val="both"/>
              <w:rPr>
                <w:sz w:val="20"/>
                <w:szCs w:val="20"/>
              </w:rPr>
            </w:pPr>
            <w:r>
              <w:rPr>
                <w:sz w:val="20"/>
                <w:szCs w:val="20"/>
              </w:rPr>
              <w:t>This study aims to examine and analyze mental accounting, financial literacy, and financial inclusion on the financial behavior of accounting students. The independent variables in this study are mental accounting, financial literacy, and financial inclusion. A quantitative research method is used in this study. The research population consists of 5th and 7th-semester accounting students from the Faculty of Economics and Business, Wijaya Kusuma University Surabaya. Using a purposive sampling technique, a sample of 114 students was selected. The data collected in this study is primary data obtained by distributing questionnaires. This study employs IBM SPSS 23 statistical tools for testing. The results show that mental accounting has a positive effect on the financial behavior of accounting students, financial literacy has a positive effect on the financial behavior of accounting students, and financial inclusion has a negative effect on the financial behavior of accounting students.</w:t>
            </w:r>
          </w:p>
          <w:p w14:paraId="70C4E1D2">
            <w:pPr>
              <w:pBdr>
                <w:top w:val="none" w:color="auto" w:sz="0" w:space="0"/>
                <w:left w:val="none" w:color="auto" w:sz="0" w:space="0"/>
                <w:bottom w:val="none" w:color="auto" w:sz="0" w:space="0"/>
                <w:right w:val="none" w:color="auto" w:sz="0" w:space="0"/>
                <w:between w:val="none" w:color="auto" w:sz="0" w:space="0"/>
              </w:pBdr>
              <w:shd w:val="clear" w:color="auto" w:fill="DEEBF6"/>
              <w:spacing w:after="0" w:line="200" w:lineRule="auto"/>
              <w:ind w:right="144"/>
              <w:jc w:val="both"/>
              <w:rPr>
                <w:color w:val="000000"/>
                <w:sz w:val="20"/>
                <w:szCs w:val="20"/>
              </w:rPr>
            </w:pPr>
            <w:r>
              <w:rPr>
                <w:color w:val="000000"/>
                <w:sz w:val="20"/>
                <w:szCs w:val="20"/>
              </w:rPr>
              <w:t>ABSTRAK</w:t>
            </w:r>
          </w:p>
          <w:p w14:paraId="4C181A38">
            <w:pPr>
              <w:pBdr>
                <w:top w:val="none" w:color="auto" w:sz="0" w:space="0"/>
                <w:left w:val="none" w:color="auto" w:sz="0" w:space="0"/>
                <w:bottom w:val="none" w:color="auto" w:sz="0" w:space="0"/>
                <w:right w:val="none" w:color="auto" w:sz="0" w:space="0"/>
                <w:between w:val="none" w:color="auto" w:sz="0" w:space="0"/>
              </w:pBdr>
              <w:shd w:val="clear" w:color="auto" w:fill="DEEBF6"/>
              <w:spacing w:after="0" w:line="200" w:lineRule="auto"/>
              <w:ind w:right="144"/>
              <w:jc w:val="both"/>
              <w:rPr>
                <w:color w:val="000000"/>
                <w:sz w:val="20"/>
                <w:szCs w:val="20"/>
              </w:rPr>
            </w:pPr>
          </w:p>
          <w:p w14:paraId="073AE27A">
            <w:pPr>
              <w:pBdr>
                <w:top w:val="none" w:color="auto" w:sz="0" w:space="0"/>
                <w:left w:val="none" w:color="auto" w:sz="0" w:space="0"/>
                <w:bottom w:val="none" w:color="auto" w:sz="0" w:space="0"/>
                <w:right w:val="none" w:color="auto" w:sz="0" w:space="0"/>
                <w:between w:val="none" w:color="auto" w:sz="0" w:space="0"/>
              </w:pBdr>
              <w:shd w:val="clear" w:color="auto" w:fill="DEEBF6"/>
              <w:tabs>
                <w:tab w:val="left" w:pos="5679"/>
              </w:tabs>
              <w:spacing w:after="0" w:line="200" w:lineRule="auto"/>
              <w:ind w:right="144"/>
              <w:jc w:val="both"/>
              <w:rPr>
                <w:color w:val="000000"/>
                <w:sz w:val="20"/>
                <w:szCs w:val="20"/>
              </w:rPr>
            </w:pPr>
            <w:r>
              <w:rPr>
                <w:color w:val="000000"/>
                <w:sz w:val="20"/>
                <w:szCs w:val="20"/>
              </w:rPr>
              <w:t>Penelitian ini bertujuan untuk menguji dan mnganalisis mental accounting, literasi keuangan dan inklusi keuangan terhadap perilaku keuangan mahasiswa akuntansi. Variabel independen dalam penelitian ini yaitu mental accounting, literasi keuangan dan inklusi keuangan. Metode penelitian kuantitatif digunakan dalam penelitian ini. Populasi penelitian terdiri dari mahasiswa akuntansi semester 5 dan 7 Fakultas Ekonomi dan Bisnis Universitas Wijaya Kusuma Surabaya. Dengan menggunakan teknik purposive sampling, sampel diambil sejumlah 114 mahasiswa. Data yang diambil dalam penelitian ini yaitu data primer yang diperoleh dengan menyebarkan kuesioner. Penelitian ini menggunakan alat statistik IBM SPSS 23 untuk menguji. Hasil penelitian menunjukkan bahwa mental accounting berpengaruh positif terhadap perilaku keuangan mahasiswa akuntansi, literasi keuangan berpengaruh positif terhadap perilaku keuangan mahasiswa akuntansi, dan inklusi keuangan berpengaruh negatif terhadap perilaku keuangan mahasiswa akuntansi.</w:t>
            </w:r>
          </w:p>
          <w:p w14:paraId="790F1724">
            <w:pPr>
              <w:pBdr>
                <w:top w:val="none" w:color="auto" w:sz="0" w:space="0"/>
                <w:left w:val="none" w:color="auto" w:sz="0" w:space="0"/>
                <w:bottom w:val="none" w:color="auto" w:sz="0" w:space="0"/>
                <w:right w:val="none" w:color="auto" w:sz="0" w:space="0"/>
                <w:between w:val="none" w:color="auto" w:sz="0" w:space="0"/>
              </w:pBdr>
              <w:shd w:val="clear" w:color="auto" w:fill="DEEBF6"/>
              <w:spacing w:after="0" w:line="200" w:lineRule="auto"/>
              <w:ind w:right="149"/>
              <w:jc w:val="right"/>
              <w:rPr>
                <w:color w:val="000000"/>
                <w:sz w:val="17"/>
                <w:szCs w:val="17"/>
              </w:rPr>
            </w:pPr>
            <w:r>
              <w:rPr>
                <w:color w:val="000000"/>
                <w:sz w:val="17"/>
                <w:szCs w:val="17"/>
              </w:rPr>
              <w:t xml:space="preserve">This is an open-access article under the </w:t>
            </w:r>
            <w:r>
              <w:fldChar w:fldCharType="begin"/>
            </w:r>
            <w:r>
              <w:instrText xml:space="preserve"> HYPERLINK "http://creativecommons.org/licenses/by-sa/4.0/" \h </w:instrText>
            </w:r>
            <w:r>
              <w:fldChar w:fldCharType="separate"/>
            </w:r>
            <w:r>
              <w:rPr>
                <w:color w:val="0563C1"/>
                <w:sz w:val="17"/>
                <w:szCs w:val="17"/>
              </w:rPr>
              <w:t>CC–BY-SA</w:t>
            </w:r>
            <w:r>
              <w:rPr>
                <w:color w:val="0563C1"/>
                <w:sz w:val="17"/>
                <w:szCs w:val="17"/>
              </w:rPr>
              <w:fldChar w:fldCharType="end"/>
            </w:r>
            <w:r>
              <w:rPr>
                <w:color w:val="000000"/>
                <w:sz w:val="17"/>
                <w:szCs w:val="17"/>
              </w:rPr>
              <w:t xml:space="preserve"> license.</w:t>
            </w:r>
            <w:r>
              <w:drawing>
                <wp:anchor distT="0" distB="0" distL="114300" distR="114300" simplePos="0" relativeHeight="251659264" behindDoc="0" locked="0" layoutInCell="1" allowOverlap="1">
                  <wp:simplePos x="0" y="0"/>
                  <wp:positionH relativeFrom="column">
                    <wp:posOffset>2844800</wp:posOffset>
                  </wp:positionH>
                  <wp:positionV relativeFrom="paragraph">
                    <wp:posOffset>168910</wp:posOffset>
                  </wp:positionV>
                  <wp:extent cx="840105" cy="297180"/>
                  <wp:effectExtent l="0" t="0" r="0" b="0"/>
                  <wp:wrapTopAndBottom/>
                  <wp:docPr id="25"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25" name="image1.png" descr="https://licensebuttons.net/l/by-sa/3.0/88x31.png"/>
                          <pic:cNvPicPr preferRelativeResize="0"/>
                        </pic:nvPicPr>
                        <pic:blipFill>
                          <a:blip r:embed="rId12"/>
                          <a:srcRect/>
                          <a:stretch>
                            <a:fillRect/>
                          </a:stretch>
                        </pic:blipFill>
                        <pic:spPr>
                          <a:xfrm>
                            <a:off x="0" y="0"/>
                            <a:ext cx="840105" cy="297180"/>
                          </a:xfrm>
                          <a:prstGeom prst="rect">
                            <a:avLst/>
                          </a:prstGeom>
                        </pic:spPr>
                      </pic:pic>
                    </a:graphicData>
                  </a:graphic>
                </wp:anchor>
              </w:drawing>
            </w:r>
          </w:p>
          <w:p w14:paraId="52F7C274">
            <w:pPr>
              <w:pBdr>
                <w:top w:val="none" w:color="auto" w:sz="0" w:space="0"/>
                <w:left w:val="none" w:color="auto" w:sz="0" w:space="0"/>
                <w:bottom w:val="none" w:color="auto" w:sz="0" w:space="0"/>
                <w:right w:val="none" w:color="auto" w:sz="0" w:space="0"/>
                <w:between w:val="none" w:color="auto" w:sz="0" w:space="0"/>
              </w:pBdr>
              <w:spacing w:after="0" w:line="200" w:lineRule="auto"/>
              <w:ind w:right="144"/>
              <w:jc w:val="right"/>
              <w:rPr>
                <w:color w:val="000000"/>
                <w:sz w:val="17"/>
                <w:szCs w:val="17"/>
              </w:rPr>
            </w:pPr>
            <w:r>
              <w:rPr>
                <w:color w:val="000000"/>
                <w:sz w:val="17"/>
                <w:szCs w:val="17"/>
              </w:rPr>
              <w:t xml:space="preserve">   </w:t>
            </w:r>
          </w:p>
        </w:tc>
        <w:tc>
          <w:tcPr>
            <w:tcW w:w="133" w:type="dxa"/>
            <w:vMerge w:val="restart"/>
            <w:tcBorders>
              <w:top w:val="single" w:color="7030A0" w:sz="6" w:space="0"/>
            </w:tcBorders>
            <w:shd w:val="clear" w:color="auto" w:fill="DEEBF6"/>
          </w:tcPr>
          <w:p w14:paraId="05EBB815">
            <w:pPr>
              <w:pBdr>
                <w:top w:val="none" w:color="auto" w:sz="0" w:space="0"/>
                <w:left w:val="none" w:color="auto" w:sz="0" w:space="0"/>
                <w:bottom w:val="none" w:color="auto" w:sz="0" w:space="0"/>
                <w:right w:val="none" w:color="auto" w:sz="0" w:space="0"/>
                <w:between w:val="none" w:color="auto" w:sz="0" w:space="0"/>
              </w:pBdr>
              <w:spacing w:after="80" w:line="200" w:lineRule="auto"/>
              <w:jc w:val="both"/>
              <w:rPr>
                <w:color w:val="000000"/>
                <w:sz w:val="20"/>
                <w:szCs w:val="20"/>
              </w:rPr>
            </w:pPr>
          </w:p>
        </w:tc>
      </w:tr>
      <w:tr w14:paraId="11FBAA58">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0" w:type="dxa"/>
            <w:bottom w:w="0" w:type="dxa"/>
            <w:right w:w="0" w:type="dxa"/>
          </w:tblCellMar>
        </w:tblPrEx>
        <w:trPr>
          <w:cantSplit/>
          <w:trHeight w:val="1427" w:hRule="atLeast"/>
        </w:trPr>
        <w:tc>
          <w:tcPr>
            <w:tcW w:w="2330" w:type="dxa"/>
            <w:tcBorders>
              <w:top w:val="nil"/>
              <w:bottom w:val="single" w:color="7030A0" w:sz="6" w:space="0"/>
            </w:tcBorders>
            <w:shd w:val="clear" w:color="auto" w:fill="auto"/>
            <w:tcMar>
              <w:top w:w="72" w:type="dxa"/>
              <w:left w:w="0" w:type="dxa"/>
            </w:tcMar>
          </w:tcPr>
          <w:p w14:paraId="3E3952E3">
            <w:pPr>
              <w:pBdr>
                <w:top w:val="none" w:color="auto" w:sz="0" w:space="0"/>
                <w:left w:val="none" w:color="auto" w:sz="0" w:space="0"/>
                <w:bottom w:val="none" w:color="auto" w:sz="0" w:space="0"/>
                <w:right w:val="none" w:color="auto" w:sz="0" w:space="0"/>
                <w:between w:val="none" w:color="auto" w:sz="0" w:space="0"/>
              </w:pBdr>
              <w:spacing w:after="0" w:line="200" w:lineRule="auto"/>
              <w:rPr>
                <w:b/>
                <w:i/>
                <w:color w:val="000000"/>
                <w:sz w:val="18"/>
                <w:szCs w:val="18"/>
              </w:rPr>
            </w:pPr>
          </w:p>
          <w:p w14:paraId="382DA72E">
            <w:pPr>
              <w:pBdr>
                <w:top w:val="none" w:color="auto" w:sz="0" w:space="0"/>
                <w:left w:val="none" w:color="auto" w:sz="0" w:space="0"/>
                <w:bottom w:val="none" w:color="auto" w:sz="0" w:space="0"/>
                <w:right w:val="none" w:color="auto" w:sz="0" w:space="0"/>
                <w:between w:val="none" w:color="auto" w:sz="0" w:space="0"/>
              </w:pBdr>
              <w:spacing w:after="0" w:line="200" w:lineRule="auto"/>
              <w:rPr>
                <w:b/>
                <w:color w:val="000000"/>
                <w:sz w:val="14"/>
                <w:szCs w:val="14"/>
              </w:rPr>
            </w:pPr>
            <w:r>
              <w:rPr>
                <w:b/>
                <w:color w:val="000000"/>
                <w:sz w:val="14"/>
                <w:szCs w:val="14"/>
              </w:rPr>
              <w:t xml:space="preserve">Keywords : </w:t>
            </w:r>
            <w:r>
              <w:rPr>
                <w:sz w:val="20"/>
                <w:szCs w:val="20"/>
              </w:rPr>
              <w:t xml:space="preserve"> </w:t>
            </w:r>
            <w:r>
              <w:rPr>
                <w:sz w:val="14"/>
                <w:szCs w:val="14"/>
              </w:rPr>
              <w:t>Mental Accounting, Financial Literacy, Financial Inclusion, Financial Behavior.</w:t>
            </w:r>
          </w:p>
          <w:p w14:paraId="4A736BF3">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490113C1">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495FC215">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79A579D7">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57936A77">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34262F12">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7014F67B">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208B9A0C">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1C145F58">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46FEFF8B">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3A99FFC6">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3C64B7D0">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4E9168EC">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463676E7">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652C9994">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3366F85A">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46364621">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0285FAE1">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49B9B71A">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762AA067">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5C40219E">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2356959F">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4BB6CBD4">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3EB66067">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759D27D5">
            <w:pPr>
              <w:pBdr>
                <w:top w:val="none" w:color="auto" w:sz="0" w:space="0"/>
                <w:left w:val="none" w:color="auto" w:sz="0" w:space="0"/>
                <w:bottom w:val="none" w:color="auto" w:sz="0" w:space="0"/>
                <w:right w:val="none" w:color="auto" w:sz="0" w:space="0"/>
                <w:between w:val="none" w:color="auto" w:sz="0" w:space="0"/>
              </w:pBdr>
              <w:spacing w:after="0" w:line="200" w:lineRule="auto"/>
              <w:rPr>
                <w:bCs/>
                <w:color w:val="000000"/>
                <w:sz w:val="14"/>
                <w:szCs w:val="14"/>
              </w:rPr>
            </w:pPr>
            <w:r>
              <w:rPr>
                <w:bCs/>
                <w:color w:val="000000"/>
                <w:sz w:val="14"/>
                <w:szCs w:val="14"/>
              </w:rPr>
              <w:t>Kata Kunci : Mental Accounting, Literasi Keuangan, Inklusi Keuangan, Perilaku Keuangan</w:t>
            </w:r>
          </w:p>
          <w:p w14:paraId="290DFD1B">
            <w:pPr>
              <w:pBdr>
                <w:top w:val="none" w:color="auto" w:sz="0" w:space="0"/>
                <w:left w:val="none" w:color="auto" w:sz="0" w:space="0"/>
                <w:bottom w:val="none" w:color="auto" w:sz="0" w:space="0"/>
                <w:right w:val="none" w:color="auto" w:sz="0" w:space="0"/>
                <w:between w:val="none" w:color="auto" w:sz="0" w:space="0"/>
              </w:pBdr>
              <w:spacing w:after="0" w:line="200" w:lineRule="auto"/>
              <w:rPr>
                <w:bCs/>
                <w:color w:val="000000"/>
                <w:sz w:val="14"/>
                <w:szCs w:val="14"/>
              </w:rPr>
            </w:pPr>
          </w:p>
          <w:p w14:paraId="18B3CFD9">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453985E8">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4AD2F976">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1AB8F817">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45124420">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p w14:paraId="68CC5B2F">
            <w:pPr>
              <w:pBdr>
                <w:top w:val="none" w:color="auto" w:sz="0" w:space="0"/>
                <w:left w:val="none" w:color="auto" w:sz="0" w:space="0"/>
                <w:bottom w:val="none" w:color="auto" w:sz="0" w:space="0"/>
                <w:right w:val="none" w:color="auto" w:sz="0" w:space="0"/>
                <w:between w:val="none" w:color="auto" w:sz="0" w:space="0"/>
              </w:pBdr>
              <w:spacing w:after="0" w:line="200" w:lineRule="auto"/>
              <w:rPr>
                <w:color w:val="000000"/>
                <w:sz w:val="14"/>
                <w:szCs w:val="14"/>
              </w:rPr>
            </w:pPr>
          </w:p>
        </w:tc>
        <w:tc>
          <w:tcPr>
            <w:tcW w:w="273" w:type="dxa"/>
            <w:tcBorders>
              <w:top w:val="nil"/>
              <w:bottom w:val="single" w:color="7030A0" w:sz="6" w:space="0"/>
            </w:tcBorders>
            <w:shd w:val="clear" w:color="auto" w:fill="auto"/>
          </w:tcPr>
          <w:p w14:paraId="02D318EF">
            <w:pPr>
              <w:spacing w:after="80" w:line="200" w:lineRule="auto"/>
              <w:rPr>
                <w:rFonts w:ascii="Junicode" w:hAnsi="Junicode" w:eastAsia="Junicode" w:cs="Junicode"/>
              </w:rPr>
            </w:pPr>
          </w:p>
        </w:tc>
        <w:tc>
          <w:tcPr>
            <w:tcW w:w="6057" w:type="dxa"/>
            <w:vMerge w:val="continue"/>
            <w:tcBorders>
              <w:top w:val="single" w:color="7030A0" w:sz="6" w:space="0"/>
              <w:bottom w:val="single" w:color="000000" w:sz="8" w:space="0"/>
            </w:tcBorders>
            <w:shd w:val="clear" w:color="auto" w:fill="DEEBF6"/>
            <w:tcMar>
              <w:left w:w="240" w:type="dxa"/>
            </w:tcMar>
          </w:tcPr>
          <w:p w14:paraId="777029CA">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Junicode" w:hAnsi="Junicode" w:eastAsia="Junicode" w:cs="Junicode"/>
              </w:rPr>
            </w:pPr>
          </w:p>
        </w:tc>
        <w:tc>
          <w:tcPr>
            <w:tcW w:w="133" w:type="dxa"/>
            <w:vMerge w:val="continue"/>
            <w:tcBorders>
              <w:top w:val="single" w:color="7030A0" w:sz="6" w:space="0"/>
            </w:tcBorders>
            <w:shd w:val="clear" w:color="auto" w:fill="DEEBF6"/>
          </w:tcPr>
          <w:p w14:paraId="25002798">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Junicode" w:hAnsi="Junicode" w:eastAsia="Junicode" w:cs="Junicode"/>
              </w:rPr>
            </w:pPr>
          </w:p>
        </w:tc>
      </w:tr>
    </w:tbl>
    <w:p w14:paraId="7EC2A750">
      <w:pPr>
        <w:pStyle w:val="2"/>
        <w:numPr>
          <w:ilvl w:val="0"/>
          <w:numId w:val="3"/>
        </w:numPr>
        <w:ind w:right="566"/>
      </w:pPr>
      <w:r>
        <w:t xml:space="preserve">Pendahuluan </w:t>
      </w:r>
    </w:p>
    <w:p w14:paraId="03A74B1C">
      <w:pPr>
        <w:pBdr>
          <w:top w:val="none" w:color="auto" w:sz="0" w:space="0"/>
          <w:left w:val="none" w:color="auto" w:sz="0" w:space="0"/>
          <w:bottom w:val="none" w:color="auto" w:sz="0" w:space="0"/>
          <w:right w:val="none" w:color="auto" w:sz="0" w:space="0"/>
          <w:between w:val="none" w:color="auto" w:sz="0" w:space="0"/>
        </w:pBdr>
        <w:tabs>
          <w:tab w:val="left" w:pos="288"/>
        </w:tabs>
        <w:spacing w:after="0" w:line="228" w:lineRule="auto"/>
        <w:ind w:right="567" w:firstLine="289"/>
        <w:jc w:val="both"/>
        <w:rPr>
          <w:color w:val="000000"/>
        </w:rPr>
      </w:pPr>
      <w:r>
        <w:rPr>
          <w:sz w:val="24"/>
          <w:szCs w:val="24"/>
        </w:rPr>
        <w:t xml:space="preserve">Pada saat ini perkembangan teknologi dan transformasi digital tidak dapat dihindari dan hampir setiap aspek kehidupan sehari-hari bergantung pada teknologi, salah satunya pada aspek keuangan. Bahkan, di era saat ini banyak terjadi perubahan perilaku dalam masyarakat dibandingkan pada era sebelumnya, salah satunya yaitu perilaku keuangan. Individu yang mempunyai </w:t>
      </w:r>
      <w:r>
        <w:rPr>
          <w:i/>
          <w:iCs/>
          <w:sz w:val="24"/>
          <w:szCs w:val="24"/>
        </w:rPr>
        <w:t>financial behavior</w:t>
      </w:r>
      <w:r>
        <w:rPr>
          <w:sz w:val="24"/>
          <w:szCs w:val="24"/>
        </w:rPr>
        <w:t xml:space="preserve"> yang baik cenderung memiliki sikap efektif didalam penggunaan keuangan yang didapatkannya, misalnya dalam menetapkan anggaran, penghematan pengeluaran keuangan, berinvestasi dan membayar kewajiban tepat waktu (Yatiningsih dkk., 2024).</w:t>
      </w:r>
    </w:p>
    <w:p w14:paraId="20EDEB70">
      <w:pPr>
        <w:pBdr>
          <w:top w:val="none" w:color="auto" w:sz="0" w:space="0"/>
          <w:left w:val="none" w:color="auto" w:sz="0" w:space="0"/>
          <w:bottom w:val="none" w:color="auto" w:sz="0" w:space="0"/>
          <w:right w:val="none" w:color="auto" w:sz="0" w:space="0"/>
          <w:between w:val="none" w:color="auto" w:sz="0" w:space="0"/>
        </w:pBdr>
        <w:tabs>
          <w:tab w:val="left" w:pos="288"/>
        </w:tabs>
        <w:spacing w:after="0" w:line="228" w:lineRule="auto"/>
        <w:ind w:right="567" w:firstLine="289"/>
        <w:jc w:val="both"/>
        <w:rPr>
          <w:color w:val="000000"/>
        </w:rPr>
      </w:pPr>
      <w:r>
        <w:rPr>
          <w:i/>
          <w:iCs/>
          <w:color w:val="000000"/>
        </w:rPr>
        <w:t>Consumer News and Business Channel</w:t>
      </w:r>
      <w:r>
        <w:rPr>
          <w:color w:val="000000"/>
        </w:rPr>
        <w:t xml:space="preserve"> (CNBC) menyatakan pada survei tahun 2023 jumlah pengguna layanan pinjaman online adalah 2,7 juta orang atau sekitar 1,5 persen dari total pengguna internet di Indonesia. Pada survei 2024 yang hasilnya dirilis pada Januari lalu, jumlah pengguna layanan pinjaman online sudah mencapai 8,86 juta orang atau sekitar 5,4 persen dari jumlah pengguna internet RI (cnbcindonesia.com, 2023). Tercatat hingga akhir Juni 2024, berdasarkan data Otoritas Jasa Keuangan (OJK) tercatat generasi Z dan milenial mendominasi penundaan pembayaran hutang pada </w:t>
      </w:r>
      <w:r>
        <w:rPr>
          <w:i/>
          <w:iCs/>
          <w:color w:val="000000"/>
        </w:rPr>
        <w:t>fintech lending</w:t>
      </w:r>
      <w:r>
        <w:rPr>
          <w:color w:val="000000"/>
        </w:rPr>
        <w:t xml:space="preserve"> per Juni 2024 sebesar Rp30,59 triliun. Metro Tv News (2024) menyampaikan, generasi Z atau Gen Z menyumbang 37,1 persen tingkat wanprestasi/gagal bayar (TWP) 90 hari pada perusahaan fintech peer to peer (P2P) lending atau pinjaman online (Jelita, 2024). Dilansir dari situs </w:t>
      </w:r>
      <w:r>
        <w:rPr>
          <w:i/>
          <w:iCs/>
          <w:color w:val="000000"/>
        </w:rPr>
        <w:t>Cable News Network</w:t>
      </w:r>
      <w:r>
        <w:rPr>
          <w:color w:val="000000"/>
        </w:rPr>
        <w:t xml:space="preserve"> (CNN) tahun 2023 menyatakan Hasil </w:t>
      </w:r>
      <w:r>
        <w:rPr>
          <w:i/>
          <w:iCs/>
          <w:color w:val="000000"/>
        </w:rPr>
        <w:t>riset Institute for Development of Economics and Finance</w:t>
      </w:r>
      <w:r>
        <w:rPr>
          <w:color w:val="000000"/>
        </w:rPr>
        <w:t xml:space="preserve"> (INDEF) menemukan rata-rata besaran utang generasi muda Indonesia dari pinjaman online (pinjol) lebih besar ketimbang rata-rata pendapatan yang diterima. Riset tersebut menunjukkan rata-rata peminjam di bawah usia 19 tahun memiliki pinjaman Rp2,3 juta di pinjol. Sementara usia 20-34 tahun memiliki pinjaman sebesar Rp2,5 juta (cnnindonesia.com, 2023). Jumlah pinjaman tersebut lebih tinggi dari rata-rata pendapatan generasi muda Indonesia.</w:t>
      </w:r>
    </w:p>
    <w:p w14:paraId="3A4F06FE">
      <w:pPr>
        <w:pBdr>
          <w:top w:val="none" w:color="auto" w:sz="0" w:space="0"/>
          <w:left w:val="none" w:color="auto" w:sz="0" w:space="0"/>
          <w:bottom w:val="none" w:color="auto" w:sz="0" w:space="0"/>
          <w:right w:val="none" w:color="auto" w:sz="0" w:space="0"/>
          <w:between w:val="none" w:color="auto" w:sz="0" w:space="0"/>
        </w:pBdr>
        <w:tabs>
          <w:tab w:val="left" w:pos="288"/>
        </w:tabs>
        <w:spacing w:after="0" w:line="228" w:lineRule="auto"/>
        <w:ind w:right="567" w:firstLine="289"/>
        <w:jc w:val="both"/>
        <w:rPr>
          <w:color w:val="000000"/>
        </w:rPr>
      </w:pPr>
      <w:r>
        <w:rPr>
          <w:color w:val="000000"/>
        </w:rPr>
        <w:t xml:space="preserve">Berdasarkan fenomena yang terjadi di kalangan mahasiswa tersebut menyatakan bahwa mahasiswa masih belum bisa dalam mengelola keuangan pribadinya secara tepat dan efektif sehingga perilaku keuangan yang ditunjukkan lebih menjerumus ke arah negatif. Oleh karena itu, hal tersebut dibutuhkan pentingnya peran kecerdasan </w:t>
      </w:r>
      <w:r>
        <w:rPr>
          <w:i/>
          <w:iCs/>
          <w:color w:val="000000"/>
        </w:rPr>
        <w:t>financial</w:t>
      </w:r>
      <w:r>
        <w:rPr>
          <w:color w:val="000000"/>
        </w:rPr>
        <w:t xml:space="preserve"> meliputi pemahaman dan penerapan konsep </w:t>
      </w:r>
      <w:r>
        <w:rPr>
          <w:i/>
          <w:iCs/>
          <w:color w:val="000000"/>
        </w:rPr>
        <w:t>mental accounting</w:t>
      </w:r>
      <w:r>
        <w:rPr>
          <w:color w:val="000000"/>
        </w:rPr>
        <w:t xml:space="preserve">, literasi keuangan serta inklusi keuangan dalam mengelola perilaku keuangan yang dimiliki dengan baik agar tidak menjadi masalah keuangan di kemudian hari, karena seringkali kegagalan dalam mengelola keuangan seseorang tidak disebabkan oleh rendahnya pendapatan, melainkan oleh kurangnya pengetahuan, tidak terbentuknya </w:t>
      </w:r>
      <w:r>
        <w:rPr>
          <w:i/>
          <w:iCs/>
          <w:color w:val="000000"/>
        </w:rPr>
        <w:t>mental accounting</w:t>
      </w:r>
      <w:r>
        <w:rPr>
          <w:color w:val="000000"/>
        </w:rPr>
        <w:t xml:space="preserve"> dan tidak memanfaatkan kemudahan akses keuangan dalam mengatur dan mengalokasikan uang dengan tepat.</w:t>
      </w:r>
    </w:p>
    <w:p w14:paraId="06513CB4">
      <w:pPr>
        <w:pBdr>
          <w:top w:val="none" w:color="auto" w:sz="0" w:space="0"/>
          <w:left w:val="none" w:color="auto" w:sz="0" w:space="0"/>
          <w:bottom w:val="none" w:color="auto" w:sz="0" w:space="0"/>
          <w:right w:val="none" w:color="auto" w:sz="0" w:space="0"/>
          <w:between w:val="none" w:color="auto" w:sz="0" w:space="0"/>
        </w:pBdr>
        <w:tabs>
          <w:tab w:val="left" w:pos="288"/>
        </w:tabs>
        <w:spacing w:after="0" w:line="228" w:lineRule="auto"/>
        <w:ind w:right="567" w:firstLine="289"/>
        <w:jc w:val="both"/>
        <w:rPr>
          <w:color w:val="000000"/>
        </w:rPr>
      </w:pPr>
      <w:r>
        <w:rPr>
          <w:color w:val="000000"/>
        </w:rPr>
        <w:t xml:space="preserve">Hasil penelitian empiris tentang perilaku keuangan, diantaranya dilakukan oleh Hidayat &amp; Paramita (2024) penelitian mengambil obyek Generasi Z yang berada di Jawa Barat, hasil menunjukan bahwa literasi keuangan dan inklusi keuangan berpegaruh terhadap perilaku keuangan gen z di jawa barat dan penelitian yang dilakukan oleh Cristanti dkk., (2021) dengan hasil bahwa </w:t>
      </w:r>
      <w:r>
        <w:rPr>
          <w:i/>
          <w:iCs/>
          <w:color w:val="000000"/>
        </w:rPr>
        <w:t>mental accounting</w:t>
      </w:r>
      <w:r>
        <w:rPr>
          <w:color w:val="000000"/>
        </w:rPr>
        <w:t xml:space="preserve"> berpengaruh terhadap perilaku keuangan mahasiswa FKIP UKSW. Sejalan dengan penelitian yang dilakukan oleh HS &amp; Lestari (2022) menyatakan bahwa literasi keuangan dan inklusi keuangan berpengaruh terhadap perilaku keuangan generasi milenial di Jakarta selatan dan penelitian oleh Syaputri &amp; Pradesyah (2023) yang menyatakan bahwa </w:t>
      </w:r>
      <w:r>
        <w:rPr>
          <w:i/>
          <w:iCs/>
          <w:color w:val="000000"/>
        </w:rPr>
        <w:t>mental accounting</w:t>
      </w:r>
      <w:r>
        <w:rPr>
          <w:color w:val="000000"/>
        </w:rPr>
        <w:t xml:space="preserve"> berpengruh terhadap perilaku keuangan gen Z. Namun, berbeda dengan penelitian yang dilakukan Anisyah dkk., (2021) dan Zulkarnaen dkk., (2022) yang menyimpulkan bahwa inklusi keuangan tidak berpengaruh terhadap perilaku keuangan dan penelitian yang dilakukan Harun dkk., (2024) dan Izza (2024) menyimpulkan literasi keuangan tidak berpengaruh terhadap perilaku keuangan serta penelitian yang dilakukan Yuniarsih dkk., (2024) yang menyimpulkan </w:t>
      </w:r>
      <w:r>
        <w:rPr>
          <w:i/>
          <w:iCs/>
          <w:color w:val="000000"/>
        </w:rPr>
        <w:t>mental accounting</w:t>
      </w:r>
      <w:r>
        <w:rPr>
          <w:color w:val="000000"/>
        </w:rPr>
        <w:t xml:space="preserve"> tidak berpengaruh terhadap perilaku keuangan. Dari beberpa hasil penelitian terdahulu menunjukkan bahwa hubungan antara mental accounting, literasi keuangan dan inklusi keuangan masih belum konsisten atau kontradiktif antara peneliti. </w:t>
      </w:r>
    </w:p>
    <w:p w14:paraId="10FCB44C">
      <w:pPr>
        <w:pBdr>
          <w:top w:val="none" w:color="auto" w:sz="0" w:space="0"/>
          <w:left w:val="none" w:color="auto" w:sz="0" w:space="0"/>
          <w:bottom w:val="none" w:color="auto" w:sz="0" w:space="0"/>
          <w:right w:val="none" w:color="auto" w:sz="0" w:space="0"/>
          <w:between w:val="none" w:color="auto" w:sz="0" w:space="0"/>
        </w:pBdr>
        <w:tabs>
          <w:tab w:val="left" w:pos="288"/>
        </w:tabs>
        <w:spacing w:after="0" w:line="228" w:lineRule="auto"/>
        <w:ind w:right="567" w:firstLine="289"/>
        <w:jc w:val="both"/>
        <w:rPr>
          <w:color w:val="000000"/>
        </w:rPr>
      </w:pPr>
      <w:r>
        <w:rPr>
          <w:color w:val="000000"/>
        </w:rPr>
        <w:t xml:space="preserve">Oleh karena itu, peneliti perlu meneliti Kembali hubungan atau pengaruh </w:t>
      </w:r>
      <w:r>
        <w:rPr>
          <w:i/>
          <w:iCs/>
          <w:color w:val="000000"/>
        </w:rPr>
        <w:t>mental accounting</w:t>
      </w:r>
      <w:r>
        <w:rPr>
          <w:color w:val="000000"/>
        </w:rPr>
        <w:t>, literasi keuangan dan inklusi keuangan terhadap perilaku keuangan dengan obyek mahasiswa akuntansi di Universitas Wijaya Kusuma Surabaya.</w:t>
      </w:r>
    </w:p>
    <w:p w14:paraId="23D97027">
      <w:pPr>
        <w:pStyle w:val="2"/>
        <w:numPr>
          <w:ilvl w:val="0"/>
          <w:numId w:val="3"/>
        </w:numPr>
        <w:ind w:right="566"/>
      </w:pPr>
      <w:r>
        <w:t xml:space="preserve">Tinjauan Pustaka </w:t>
      </w:r>
    </w:p>
    <w:p w14:paraId="24282EE2">
      <w:pPr>
        <w:spacing w:after="0"/>
        <w:ind w:right="566" w:firstLine="284"/>
        <w:jc w:val="both"/>
      </w:pPr>
      <w:r>
        <w:rPr>
          <w:i/>
          <w:iCs/>
        </w:rPr>
        <w:t>Theory of Planned Behaviour</w:t>
      </w:r>
      <w:r>
        <w:t xml:space="preserve"> (TPB) merupakan teori yang menggambarkan hubungan antara perilaku dan sikap. TPB digunakan dalam penelitian ini karena teori ini lebih bersifat dinamis dalam melihat perilaku dibandingkan </w:t>
      </w:r>
      <w:r>
        <w:rPr>
          <w:i/>
          <w:iCs/>
        </w:rPr>
        <w:t>Theory of reasoned action</w:t>
      </w:r>
      <w:r>
        <w:t xml:space="preserve"> (TRA) yang bersifat statis. TRA muncul karena hasil penelitian yang kurang memuaskan dalam menguji hubungan antara sikap dan perilaku. Teori ini menyajikan kerangka konseptual yang berguna dalam menghadapi perilaku social individu yang kompleks. Penelitian yang akan dilakukan menggunakan </w:t>
      </w:r>
      <w:r>
        <w:rPr>
          <w:i/>
          <w:iCs/>
        </w:rPr>
        <w:t xml:space="preserve">Theory of Planned Behavior </w:t>
      </w:r>
      <w:r>
        <w:t xml:space="preserve">(TPB) sebagai </w:t>
      </w:r>
      <w:r>
        <w:rPr>
          <w:i/>
          <w:iCs/>
        </w:rPr>
        <w:t xml:space="preserve">grand theory </w:t>
      </w:r>
      <w:r>
        <w:t xml:space="preserve">atau teori utama yang menjadi rujukan dalam menyusun penelitian karena TPB merupakan salah satu teori yang dapat digunakan untuk menjelaskan perilaku seseorang yang membutuhkan perencanaan </w:t>
      </w:r>
      <w:r>
        <w:fldChar w:fldCharType="begin" w:fldLock="1"/>
      </w:r>
      <w:r>
        <w:instrText xml:space="preserve">ADDIN CSL_CITATION {"citationItems":[{"id":"ITEM-1","itemData":{"DOI":"10.24843/eeb.2017.v06.i12.p01","ISSN":"2337-3067","abstract":"Planned behavior theory as the theoretic foundation for knowing the influence of attitudes toward behavior, perceptive behavior control and subjective norm on the objective of the young generation to stock investment in the capital market. The data are collected by questionnaires distributed to 395 respondents. Hypotheses are tested with Partial Least Squares (PLS). Exploratory test is done first to determine the indicators in this research. The result shows that perspective toward behavior, perceptive behavior control and subjective norm positively and significantly affect the objective of the young generation to stock investment in the capital market\r  \r  ","author":[{"dropping-particle":"","family":"Seni","given":"Ni Nyoman Anggar","non-dropping-particle":"","parse-names":false,"suffix":""},{"dropping-particle":"","family":"Ratnadi","given":"Ni Made Dwi","non-dropping-particle":"","parse-names":false,"suffix":""}],"container-title":"E-Jurnal Ekonomi dan Bisnis Universitas Udayana","id":"ITEM-1","issued":{"date-parts":[["2017"]]},"page":"4043","title":"Theory of Planned Behavior Untuk Memprediksi Niat Berinvestasi","type":"article-journal","volume":"12"},"uris":["http://www.mendeley.com/documents/?uuid=b8163d02-b61c-4024-8742-364bc1bac3e8"]}],"mendeley":{"formattedCitation":"(Seni &amp; Ratnadi, 2017)","plainTextFormattedCitation":"(Seni &amp; Ratnadi, 2017)","previouslyFormattedCitation":"(Seni &amp; Ratnadi, 2017)"},"properties":{"noteIndex":0},"schema":"https://github.com/citation-style-language/schema/raw/master/csl-citation.json"}</w:instrText>
      </w:r>
      <w:r>
        <w:fldChar w:fldCharType="separate"/>
      </w:r>
      <w:r>
        <w:t>(Seni &amp; Ratnadi, 2017)</w:t>
      </w:r>
      <w:r>
        <w:fldChar w:fldCharType="end"/>
      </w:r>
      <w:r>
        <w:t>.</w:t>
      </w:r>
    </w:p>
    <w:p w14:paraId="67B03F63">
      <w:pPr>
        <w:spacing w:after="0" w:line="240" w:lineRule="auto"/>
        <w:ind w:right="566" w:firstLine="284"/>
        <w:jc w:val="both"/>
      </w:pPr>
      <w:r>
        <w:t xml:space="preserve">Menurut </w:t>
      </w:r>
      <w:r>
        <w:fldChar w:fldCharType="begin" w:fldLock="1"/>
      </w:r>
      <w:r>
        <w:instrText xml:space="preserve">ADDIN CSL_CITATION {"citationItems":[{"id":"ITEM-1","itemData":{"DOI":"10.24815/jimeka.v9i2.30045","ISSN":"2581-1002","abstract":"This research explores the influence of Mental Accounting and Financial Literacy on Financial Behavior, mediated by Consumer Lifestyle, using a sample of active students in DKI Jakarta. SmartPLS 4 is utilized to analyze the research model, with SEM (Structural Equation Modeling) employed to test the hypotheses. The study involves 217 respondents from active students in DKI Jakarta. The research examines three variables: Mental Accounting and Financial Literacy as independent variables, Financial Behavior as the dependent variable, and Consumer Lifestyle as the mediating variable. The objective is to understand how students' mental accounting practices and financial literacy levels impact their financial behaviors, with consumer lifestyles influencing these relationships. Findings are expected to provide insights into the financial decision-making processes of young adults in an educational setting, contributing to more effective financial education programs and interventions. This study emphasizes the significant role of lifestyle in shaping financial behaviors, offering a comprehensive view of the factors affecting financial behavior among students, and aims to enhance financial behavior through targeted improvements in financial literacy and lifestyle awareness.","author":[{"dropping-particle":"","family":"Ismia","given":"Fani Kesya","non-dropping-particle":"","parse-names":false,"suffix":""},{"dropping-particle":"","family":"Udzikrilah","given":"Sinta","non-dropping-particle":"","parse-names":false,"suffix":""},{"dropping-particle":"","family":"Pratiwi","given":"Permata Dian","non-dropping-particle":"","parse-names":false,"suffix":""}],"container-title":"Jurnal Ilmiah Mahasiswa Ekonomi Akuntansi","id":"ITEM-1","issue":"2","issued":{"date-parts":[["2024","5","31"]]},"page":"118-130","publisher":"LPPM Universitas Syiah Kuala","title":"PENGARUH MENTAL ACCOUNTING DAN LITERASI KEUANGAN TERHADAP FINANCIAL BEHAVIOUR DENGAN DIMEDIASI GAYA HIDUP KONSUMTIF MAHASISWA AKTIF DI DKI JAKARTA","type":"article-journal","volume":"9"},"uris":["http://www.mendeley.com/documents/?uuid=3cc8ef08-15a6-33ec-a1eb-a0342f1959e7"]}],"mendeley":{"formattedCitation":"(Ismia et al., 2024)","manualFormatting":"Ismia dkk., (2024)","plainTextFormattedCitation":"(Ismia et al., 2024)","previouslyFormattedCitation":"(Ismia et al., 2024)"},"properties":{"noteIndex":0},"schema":"https://github.com/citation-style-language/schema/raw/master/csl-citation.json"}</w:instrText>
      </w:r>
      <w:r>
        <w:fldChar w:fldCharType="separate"/>
      </w:r>
      <w:r>
        <w:t>Ismia dkk., (2024)</w:t>
      </w:r>
      <w:r>
        <w:fldChar w:fldCharType="end"/>
      </w:r>
      <w:r>
        <w:t xml:space="preserve"> </w:t>
      </w:r>
      <w:r>
        <w:rPr>
          <w:i/>
          <w:iCs/>
        </w:rPr>
        <w:t xml:space="preserve">mental accounting </w:t>
      </w:r>
      <w:r>
        <w:t xml:space="preserve">adalah konsep yang menggambarkan bagaimana seseorang memperlakukan uang secara psikologis. Misalnya, seseorang mungkin memiliki akun mental terpisah untuk uang sewa, belanja bahan makanan, atau tabungan liburan. Mental accounting ini akan mudah diterapkan jika pengelolaan keuangan dilakukan secara disiplin, namun terkadang terdapat kendala-kendala dalam mengatur keuangan yang didasari oleh keinginan manusia (Cristanti dkk., 2021). </w:t>
      </w:r>
    </w:p>
    <w:p w14:paraId="43128B29">
      <w:pPr>
        <w:spacing w:after="0" w:line="240" w:lineRule="auto"/>
        <w:ind w:right="566" w:firstLine="284"/>
        <w:jc w:val="both"/>
      </w:pPr>
      <w:r>
        <w:t>Menurut Tambun dkk., (2023) literasi keuangan merupakan pengetahuan atau kemampuan mengelola keuangan pribadi, termasuk pemahaman keuangan tentang tabungan, asuransi, dan investasi. Individu yang memiliki literasi keuangan yang baik mampu membuat keputusan keuangan yang tepat, merencanakan masa depan finansial mereka, dan menghindari masalah keuangan (Ismia dkk., 2024). Seseorang yang ingin mencapai kehidupan yang baik dan berkualitas tentunya harus didasarkan pada pengetahuan keuangan yang baik dalam setiap aktivitas dan pengambilan keputusan di dalam hidupnya (Wibowo &amp; Hidayat, 2023).</w:t>
      </w:r>
    </w:p>
    <w:p w14:paraId="04955F6D">
      <w:pPr>
        <w:spacing w:after="0" w:line="240" w:lineRule="auto"/>
        <w:ind w:right="566" w:firstLine="284"/>
        <w:jc w:val="both"/>
      </w:pPr>
      <w:r>
        <w:t>Menurut Otoritas Jasa Keuangan (2017), inkusi keuangan merupakan ketersediaan akses pada berbagai lembaga, produk dan layanan jasa keuangan sesuai dengan kebutuhan dan kemampuan masyarakat dalam rangka meningkatkan kesejahteraan masyarakat. Inklusi keuangan merupakan sebuah proses yang menghubungkan individu dengan sistem keuangan (Hidayat &amp; Paramita, 2024) yang bertujuan untuk meningkatkan akses terhadap masyarakat pada suatu produk, lembaga dan layanan jasa keuangan. Pengetahuan tersebut penting agar masyarakat merasa lebih aman pada saat melakukan interaksi dengan lembaga keuangan.</w:t>
      </w:r>
    </w:p>
    <w:p w14:paraId="5B44A0E3">
      <w:pPr>
        <w:spacing w:line="240" w:lineRule="auto"/>
        <w:ind w:right="566" w:firstLine="284"/>
        <w:jc w:val="both"/>
      </w:pPr>
      <w:r>
        <w:t>Menurut Zakiah dkk., (2021) Perilaku keuangan merupakan kemampuan individu maupun kelompok dalam mengatur berupa serangkaian kegiatan dimulai dari perencanaan, penganggaran, pemeriksaan, pengendalian, pencarian serta penyimpanan dana keuangan untuk memenuhi kebutuhan. Perilaku keuangan ini termasuk menetapkan tujuan keuangan, memperkirakan biaya dengan akurat, memperkirakan pendapatan dengan tepat, merencanakan dan menganggarkan pengeluaran, dan mempertimbangkan pilihan pembuatan keputusan keuangan yang berbeda, penyesuaian untuk memenuhi keadaan keuangan darurat, pemenuhan janji atau tagihan tepat waktu, memenuhi tujuan keuangan, dan melaksanakan rencana pengeluaran dengan sukses (Izza, 2024).</w:t>
      </w:r>
    </w:p>
    <w:p w14:paraId="48B5D3F9">
      <w:pPr>
        <w:pStyle w:val="2"/>
        <w:numPr>
          <w:ilvl w:val="0"/>
          <w:numId w:val="3"/>
        </w:numPr>
        <w:ind w:right="566"/>
      </w:pPr>
      <w:r>
        <w:t xml:space="preserve">Metodologi Penelitian </w:t>
      </w:r>
    </w:p>
    <w:p w14:paraId="36BF3AC6">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both"/>
        <w:rPr>
          <w:color w:val="000000"/>
        </w:rPr>
      </w:pPr>
      <w:r>
        <w:rPr>
          <w:color w:val="000000"/>
        </w:rPr>
        <w:t>Pendekatan yang digunkan dalam penelitian ini yaitu metode kuantitatif. Jenis teknik pengambilan sampel dalam penelitian ini yaitu purposive sampling dengan kriteria mahasiswa akuntansi Universitas Wijaya Kusuma Surabaya semester 5 dan 7. Populasi pada penelitian ini adalah mahasiswa akuntansi semester 5 dan 7 di Universitas Wijaya Kusuma Surabaya yang berjumlah 154 orang.</w:t>
      </w:r>
      <w:r>
        <w:t>m</w:t>
      </w:r>
      <w:r>
        <w:rPr>
          <w:color w:val="000000"/>
        </w:rPr>
        <w:t xml:space="preserve">Dengan menggunakan rumus slovin didapatlah sampel 111 responden.  Jenis data yang digunakan dalam penelitian ini merupakan data primer yang diperoleh dari penyebaran kuesioner kepada mahasiswa akuntansi di universitas Wijaya Kusuma Surabaya kemudian dianalisis dan diolah. Pengolahan data melalui software SPSS </w:t>
      </w:r>
      <w:r>
        <w:rPr>
          <w:i/>
          <w:iCs/>
          <w:color w:val="000000"/>
        </w:rPr>
        <w:t>Statistic</w:t>
      </w:r>
      <w:r>
        <w:rPr>
          <w:color w:val="000000"/>
        </w:rPr>
        <w:t xml:space="preserve"> 23. Uji yang dilakukan diantaranya Analisis Data Deskriptif, Uji Validitas, Uji Reliabilitas, Uji Asumsi Klasik, Analisa Regresi Linier Berganda dan Uji Hipotesis.</w:t>
      </w:r>
    </w:p>
    <w:p w14:paraId="57F3EDE1">
      <w:pPr>
        <w:spacing w:line="240" w:lineRule="auto"/>
        <w:ind w:right="566" w:firstLine="284"/>
        <w:jc w:val="both"/>
      </w:pPr>
      <w:r>
        <w:t>Dalam melaksanakan penelitian ilmiah, penting untuk memiliki pemahaman tentang komponen-komponen penelitian ilmiah yang termasuk dalam variabel operasional penelitian:</w:t>
      </w:r>
    </w:p>
    <w:p w14:paraId="7B090691">
      <w:pPr>
        <w:spacing w:line="240" w:lineRule="auto"/>
        <w:ind w:right="566"/>
        <w:jc w:val="center"/>
        <w:rPr>
          <w:sz w:val="20"/>
          <w:szCs w:val="20"/>
        </w:rPr>
      </w:pPr>
      <w:r>
        <w:rPr>
          <w:sz w:val="20"/>
          <w:szCs w:val="20"/>
        </w:rPr>
        <w:t>Tabel 1. Definisi Operasional Variabel</w:t>
      </w:r>
    </w:p>
    <w:tbl>
      <w:tblPr>
        <w:tblStyle w:val="18"/>
        <w:tblW w:w="0" w:type="auto"/>
        <w:tblInd w:w="85"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428"/>
        <w:gridCol w:w="4512"/>
        <w:gridCol w:w="1350"/>
        <w:gridCol w:w="1350"/>
      </w:tblGrid>
      <w:tr w14:paraId="44A1237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66" w:hRule="atLeast"/>
        </w:trPr>
        <w:tc>
          <w:tcPr>
            <w:tcW w:w="1428" w:type="dxa"/>
          </w:tcPr>
          <w:p w14:paraId="222B2B58">
            <w:pPr>
              <w:spacing w:after="0" w:line="240" w:lineRule="auto"/>
              <w:jc w:val="center"/>
              <w:rPr>
                <w:sz w:val="20"/>
                <w:szCs w:val="20"/>
              </w:rPr>
            </w:pPr>
            <w:r>
              <w:rPr>
                <w:sz w:val="20"/>
                <w:szCs w:val="20"/>
              </w:rPr>
              <w:t>Variabel</w:t>
            </w:r>
          </w:p>
        </w:tc>
        <w:tc>
          <w:tcPr>
            <w:tcW w:w="4512" w:type="dxa"/>
          </w:tcPr>
          <w:p w14:paraId="6D2A80DE">
            <w:pPr>
              <w:spacing w:after="0" w:line="240" w:lineRule="auto"/>
              <w:jc w:val="center"/>
              <w:rPr>
                <w:sz w:val="20"/>
                <w:szCs w:val="20"/>
              </w:rPr>
            </w:pPr>
            <w:r>
              <w:rPr>
                <w:sz w:val="20"/>
                <w:szCs w:val="20"/>
              </w:rPr>
              <w:t>Indikator</w:t>
            </w:r>
          </w:p>
        </w:tc>
        <w:tc>
          <w:tcPr>
            <w:tcW w:w="1350" w:type="dxa"/>
          </w:tcPr>
          <w:p w14:paraId="129EC3CE">
            <w:pPr>
              <w:spacing w:after="0" w:line="240" w:lineRule="auto"/>
              <w:jc w:val="center"/>
              <w:rPr>
                <w:sz w:val="20"/>
                <w:szCs w:val="20"/>
              </w:rPr>
            </w:pPr>
            <w:r>
              <w:rPr>
                <w:sz w:val="20"/>
                <w:szCs w:val="20"/>
              </w:rPr>
              <w:t>Sumber</w:t>
            </w:r>
          </w:p>
        </w:tc>
        <w:tc>
          <w:tcPr>
            <w:tcW w:w="1350" w:type="dxa"/>
          </w:tcPr>
          <w:p w14:paraId="6FCA72C0">
            <w:pPr>
              <w:spacing w:after="0" w:line="240" w:lineRule="auto"/>
              <w:jc w:val="center"/>
              <w:rPr>
                <w:sz w:val="20"/>
                <w:szCs w:val="20"/>
              </w:rPr>
            </w:pPr>
            <w:r>
              <w:rPr>
                <w:sz w:val="20"/>
                <w:szCs w:val="20"/>
              </w:rPr>
              <w:t>Alat Ukur</w:t>
            </w:r>
          </w:p>
        </w:tc>
      </w:tr>
      <w:tr w14:paraId="5CFD490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784" w:hRule="atLeast"/>
        </w:trPr>
        <w:tc>
          <w:tcPr>
            <w:tcW w:w="1428" w:type="dxa"/>
          </w:tcPr>
          <w:p w14:paraId="74D96AE8">
            <w:pPr>
              <w:spacing w:after="0" w:line="240" w:lineRule="auto"/>
              <w:rPr>
                <w:sz w:val="20"/>
                <w:szCs w:val="20"/>
              </w:rPr>
            </w:pPr>
            <w:r>
              <w:rPr>
                <w:i/>
                <w:iCs/>
                <w:sz w:val="20"/>
                <w:szCs w:val="20"/>
              </w:rPr>
              <w:t>Mental Accounting</w:t>
            </w:r>
            <w:r>
              <w:rPr>
                <w:sz w:val="20"/>
                <w:szCs w:val="20"/>
              </w:rPr>
              <w:t xml:space="preserve"> (X1)</w:t>
            </w:r>
          </w:p>
        </w:tc>
        <w:tc>
          <w:tcPr>
            <w:tcW w:w="4512" w:type="dxa"/>
          </w:tcPr>
          <w:p w14:paraId="53E743B6">
            <w:pPr>
              <w:pStyle w:val="56"/>
              <w:numPr>
                <w:ilvl w:val="0"/>
                <w:numId w:val="8"/>
              </w:numPr>
              <w:spacing w:after="0" w:line="240" w:lineRule="auto"/>
              <w:ind w:left="452"/>
              <w:rPr>
                <w:sz w:val="20"/>
                <w:szCs w:val="20"/>
              </w:rPr>
            </w:pPr>
            <w:r>
              <w:rPr>
                <w:sz w:val="20"/>
                <w:szCs w:val="20"/>
              </w:rPr>
              <w:t>Mengalokasikan</w:t>
            </w:r>
          </w:p>
          <w:p w14:paraId="6A1D79A7">
            <w:pPr>
              <w:pStyle w:val="56"/>
              <w:numPr>
                <w:ilvl w:val="0"/>
                <w:numId w:val="8"/>
              </w:numPr>
              <w:spacing w:after="0" w:line="240" w:lineRule="auto"/>
              <w:ind w:left="452" w:hanging="358"/>
              <w:rPr>
                <w:sz w:val="20"/>
                <w:szCs w:val="20"/>
              </w:rPr>
            </w:pPr>
            <w:r>
              <w:rPr>
                <w:sz w:val="20"/>
                <w:szCs w:val="20"/>
              </w:rPr>
              <w:t>Memperhitungkan</w:t>
            </w:r>
          </w:p>
          <w:p w14:paraId="07D0E206">
            <w:pPr>
              <w:pStyle w:val="56"/>
              <w:numPr>
                <w:ilvl w:val="0"/>
                <w:numId w:val="8"/>
              </w:numPr>
              <w:spacing w:after="0" w:line="240" w:lineRule="auto"/>
              <w:ind w:left="452"/>
              <w:rPr>
                <w:sz w:val="20"/>
                <w:szCs w:val="20"/>
              </w:rPr>
            </w:pPr>
            <w:r>
              <w:rPr>
                <w:sz w:val="20"/>
                <w:szCs w:val="20"/>
              </w:rPr>
              <w:t>Mengevaluasi</w:t>
            </w:r>
          </w:p>
        </w:tc>
        <w:tc>
          <w:tcPr>
            <w:tcW w:w="1350" w:type="dxa"/>
          </w:tcPr>
          <w:p w14:paraId="737BB84C">
            <w:pPr>
              <w:spacing w:after="0" w:line="240" w:lineRule="auto"/>
              <w:rPr>
                <w:sz w:val="20"/>
                <w:szCs w:val="20"/>
              </w:rPr>
            </w:pPr>
            <w:r>
              <w:rPr>
                <w:sz w:val="20"/>
                <w:szCs w:val="20"/>
              </w:rPr>
              <w:fldChar w:fldCharType="begin" w:fldLock="1"/>
            </w:r>
            <w:r>
              <w:rPr>
                <w:sz w:val="20"/>
                <w:szCs w:val="20"/>
              </w:rPr>
              <w:instrText xml:space="preserve">ADDIN CSL_CITATION {"citationItems":[{"id":"ITEM-1","itemData":{"DOI":"10.24815/jimeka.v9i2.30045","ISSN":"2581-1002","abstract":"This research explores the influence of Mental Accounting and Financial Literacy on Financial Behavior, mediated by Consumer Lifestyle, using a sample of active students in DKI Jakarta. SmartPLS 4 is utilized to analyze the research model, with SEM (Structural Equation Modeling) employed to test the hypotheses. The study involves 217 respondents from active students in DKI Jakarta. The research examines three variables: Mental Accounting and Financial Literacy as independent variables, Financial Behavior as the dependent variable, and Consumer Lifestyle as the mediating variable. The objective is to understand how students' mental accounting practices and financial literacy levels impact their financial behaviors, with consumer lifestyles influencing these relationships. Findings are expected to provide insights into the financial decision-making processes of young adults in an educational setting, contributing to more effective financial education programs and interventions. This study emphasizes the significant role of lifestyle in shaping financial behaviors, offering a comprehensive view of the factors affecting financial behavior among students, and aims to enhance financial behavior through targeted improvements in financial literacy and lifestyle awareness.","author":[{"dropping-particle":"","family":"Ismia","given":"Fani Kesya","non-dropping-particle":"","parse-names":false,"suffix":""},{"dropping-particle":"","family":"Udzikrilah","given":"Sinta","non-dropping-particle":"","parse-names":false,"suffix":""},{"dropping-particle":"","family":"Pratiwi","given":"Permata Dian","non-dropping-particle":"","parse-names":false,"suffix":""}],"container-title":"Jurnal Ilmiah Mahasiswa Ekonomi Akuntansi","id":"ITEM-1","issue":"2","issued":{"date-parts":[["2024","5","31"]]},"page":"118-130","publisher":"LPPM Universitas Syiah Kuala","title":"PENGARUH MENTAL ACCOUNTING DAN LITERASI KEUANGAN TERHADAP FINANCIAL BEHAVIOUR DENGAN DIMEDIASI GAYA HIDUP KONSUMTIF MAHASISWA AKTIF DI DKI JAKARTA","type":"article-journal","volume":"9"},"uris":["http://www.mendeley.com/documents/?uuid=3cc8ef08-15a6-33ec-a1eb-a0342f1959e7"]}],"mendeley":{"formattedCitation":"(Ismia et al., 2024)","manualFormatting":"(Ismia dkk., 2024)","plainTextFormattedCitation":"(Ismia et al., 2024)","previouslyFormattedCitation":"(Ismia et al., 2024)"},"properties":{"noteIndex":0},"schema":"https://github.com/citation-style-language/schema/raw/master/csl-citation.json"}</w:instrText>
            </w:r>
            <w:r>
              <w:rPr>
                <w:sz w:val="20"/>
                <w:szCs w:val="20"/>
              </w:rPr>
              <w:fldChar w:fldCharType="separate"/>
            </w:r>
            <w:r>
              <w:rPr>
                <w:sz w:val="20"/>
                <w:szCs w:val="20"/>
              </w:rPr>
              <w:t>(Ismia dkk., 2024)</w:t>
            </w:r>
            <w:r>
              <w:rPr>
                <w:sz w:val="20"/>
                <w:szCs w:val="20"/>
              </w:rPr>
              <w:fldChar w:fldCharType="end"/>
            </w:r>
          </w:p>
        </w:tc>
        <w:tc>
          <w:tcPr>
            <w:tcW w:w="1350" w:type="dxa"/>
          </w:tcPr>
          <w:p w14:paraId="6C5A3DAF">
            <w:pPr>
              <w:spacing w:after="0" w:line="240" w:lineRule="auto"/>
              <w:rPr>
                <w:sz w:val="20"/>
                <w:szCs w:val="20"/>
              </w:rPr>
            </w:pPr>
            <w:r>
              <w:rPr>
                <w:sz w:val="20"/>
                <w:szCs w:val="20"/>
              </w:rPr>
              <w:t>Skala likert</w:t>
            </w:r>
          </w:p>
        </w:tc>
      </w:tr>
      <w:tr w14:paraId="323A9DC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34" w:hRule="atLeast"/>
        </w:trPr>
        <w:tc>
          <w:tcPr>
            <w:tcW w:w="1428" w:type="dxa"/>
          </w:tcPr>
          <w:p w14:paraId="7BE66A86">
            <w:pPr>
              <w:spacing w:after="0" w:line="240" w:lineRule="auto"/>
              <w:rPr>
                <w:sz w:val="20"/>
                <w:szCs w:val="20"/>
              </w:rPr>
            </w:pPr>
            <w:r>
              <w:rPr>
                <w:sz w:val="20"/>
                <w:szCs w:val="20"/>
              </w:rPr>
              <w:t>Literasi Keuangan (X2)</w:t>
            </w:r>
          </w:p>
        </w:tc>
        <w:tc>
          <w:tcPr>
            <w:tcW w:w="4512" w:type="dxa"/>
          </w:tcPr>
          <w:p w14:paraId="51919B9A">
            <w:pPr>
              <w:pStyle w:val="60"/>
              <w:numPr>
                <w:ilvl w:val="0"/>
                <w:numId w:val="9"/>
              </w:numPr>
              <w:ind w:left="452"/>
              <w:rPr>
                <w:sz w:val="20"/>
                <w:szCs w:val="20"/>
              </w:rPr>
            </w:pPr>
            <w:r>
              <w:rPr>
                <w:sz w:val="20"/>
                <w:szCs w:val="20"/>
              </w:rPr>
              <w:t>Pengetahuan keuangan</w:t>
            </w:r>
            <w:r>
              <w:rPr>
                <w:sz w:val="20"/>
                <w:szCs w:val="20"/>
                <w:lang w:val="en-US"/>
              </w:rPr>
              <w:t xml:space="preserve"> </w:t>
            </w:r>
          </w:p>
          <w:p w14:paraId="5A0B45C6">
            <w:pPr>
              <w:pStyle w:val="60"/>
              <w:numPr>
                <w:ilvl w:val="0"/>
                <w:numId w:val="9"/>
              </w:numPr>
              <w:ind w:left="452"/>
              <w:rPr>
                <w:sz w:val="20"/>
                <w:szCs w:val="20"/>
              </w:rPr>
            </w:pPr>
            <w:r>
              <w:rPr>
                <w:sz w:val="20"/>
                <w:szCs w:val="20"/>
              </w:rPr>
              <w:t xml:space="preserve">Tabungan dan pinjaman </w:t>
            </w:r>
          </w:p>
          <w:p w14:paraId="7D80AD2B">
            <w:pPr>
              <w:pStyle w:val="60"/>
              <w:numPr>
                <w:ilvl w:val="0"/>
                <w:numId w:val="9"/>
              </w:numPr>
              <w:ind w:left="452"/>
              <w:rPr>
                <w:sz w:val="20"/>
                <w:szCs w:val="20"/>
              </w:rPr>
            </w:pPr>
            <w:r>
              <w:rPr>
                <w:sz w:val="20"/>
                <w:szCs w:val="20"/>
              </w:rPr>
              <w:t xml:space="preserve">Asuransi </w:t>
            </w:r>
          </w:p>
          <w:p w14:paraId="4C804E92">
            <w:pPr>
              <w:pStyle w:val="60"/>
              <w:numPr>
                <w:ilvl w:val="0"/>
                <w:numId w:val="9"/>
              </w:numPr>
              <w:ind w:left="452"/>
              <w:rPr>
                <w:sz w:val="20"/>
                <w:szCs w:val="20"/>
              </w:rPr>
            </w:pPr>
            <w:r>
              <w:rPr>
                <w:sz w:val="20"/>
                <w:szCs w:val="20"/>
              </w:rPr>
              <w:t xml:space="preserve">Investasi </w:t>
            </w:r>
          </w:p>
        </w:tc>
        <w:tc>
          <w:tcPr>
            <w:tcW w:w="1350" w:type="dxa"/>
          </w:tcPr>
          <w:p w14:paraId="71530BEE">
            <w:pPr>
              <w:spacing w:after="0" w:line="240" w:lineRule="auto"/>
              <w:rPr>
                <w:sz w:val="20"/>
                <w:szCs w:val="20"/>
              </w:rPr>
            </w:pPr>
            <w:r>
              <w:rPr>
                <w:sz w:val="20"/>
                <w:szCs w:val="20"/>
              </w:rPr>
              <w:fldChar w:fldCharType="begin" w:fldLock="1"/>
            </w:r>
            <w:r>
              <w:rPr>
                <w:sz w:val="20"/>
                <w:szCs w:val="20"/>
              </w:rPr>
              <w:instrText xml:space="preserve">ADDIN CSL_CITATION {"citationItems":[{"id":"ITEM-1","itemData":{"author":[{"dropping-particle":"","family":"Putra","given":"Risaldi Salva","non-dropping-particle":"","parse-names":false,"suffix":""}],"id":"ITEM-1","issued":{"date-parts":[["2023"]]},"title":"PENGARUH LITERASI KEUANGAN DAN INKLUSI KEUANGAN TERHADAP PERILAKU KEUANGAN MAHASISWA PROGRAM STUDI AKUNTANSI FAKULTAS EKONOMI UNIVERSITAS BORNEO TARAKAN DENGAN GENDER SEBAGAI VARIABEL MODERASI [SKRIPSI]","type":"thesis"},"uris":["http://www.mendeley.com/documents/?uuid=1971847c-54d5-4387-a64a-45db8b3194bc"]}],"mendeley":{"formattedCitation":"(Putra, 2023)","plainTextFormattedCitation":"(Putra, 2023)","previouslyFormattedCitation":"(Putra, 2023)"},"properties":{"noteIndex":0},"schema":"https://github.com/citation-style-language/schema/raw/master/csl-citation.json"}</w:instrText>
            </w:r>
            <w:r>
              <w:rPr>
                <w:sz w:val="20"/>
                <w:szCs w:val="20"/>
              </w:rPr>
              <w:fldChar w:fldCharType="separate"/>
            </w:r>
            <w:r>
              <w:rPr>
                <w:sz w:val="20"/>
                <w:szCs w:val="20"/>
              </w:rPr>
              <w:t>(Putra, 2023)</w:t>
            </w:r>
            <w:r>
              <w:rPr>
                <w:sz w:val="20"/>
                <w:szCs w:val="20"/>
              </w:rPr>
              <w:fldChar w:fldCharType="end"/>
            </w:r>
          </w:p>
        </w:tc>
        <w:tc>
          <w:tcPr>
            <w:tcW w:w="1350" w:type="dxa"/>
          </w:tcPr>
          <w:p w14:paraId="19FDA1F3">
            <w:pPr>
              <w:spacing w:after="0" w:line="240" w:lineRule="auto"/>
              <w:rPr>
                <w:sz w:val="20"/>
                <w:szCs w:val="20"/>
              </w:rPr>
            </w:pPr>
            <w:r>
              <w:rPr>
                <w:sz w:val="20"/>
                <w:szCs w:val="20"/>
              </w:rPr>
              <w:t>Skala likert</w:t>
            </w:r>
          </w:p>
        </w:tc>
      </w:tr>
      <w:tr w14:paraId="015A8D2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066" w:hRule="atLeast"/>
        </w:trPr>
        <w:tc>
          <w:tcPr>
            <w:tcW w:w="1428" w:type="dxa"/>
          </w:tcPr>
          <w:p w14:paraId="0DC2AA9E">
            <w:pPr>
              <w:spacing w:after="0" w:line="240" w:lineRule="auto"/>
              <w:rPr>
                <w:sz w:val="20"/>
                <w:szCs w:val="20"/>
              </w:rPr>
            </w:pPr>
            <w:r>
              <w:rPr>
                <w:sz w:val="20"/>
                <w:szCs w:val="20"/>
              </w:rPr>
              <w:t>Inklusi Keuangan (X3)</w:t>
            </w:r>
          </w:p>
        </w:tc>
        <w:tc>
          <w:tcPr>
            <w:tcW w:w="4512" w:type="dxa"/>
          </w:tcPr>
          <w:p w14:paraId="0018170A">
            <w:pPr>
              <w:pStyle w:val="56"/>
              <w:numPr>
                <w:ilvl w:val="0"/>
                <w:numId w:val="10"/>
              </w:numPr>
              <w:spacing w:after="0" w:line="240" w:lineRule="auto"/>
              <w:ind w:left="452"/>
              <w:rPr>
                <w:sz w:val="20"/>
                <w:szCs w:val="20"/>
              </w:rPr>
            </w:pPr>
            <w:r>
              <w:rPr>
                <w:sz w:val="20"/>
                <w:szCs w:val="20"/>
              </w:rPr>
              <w:t>Dimensi Akses</w:t>
            </w:r>
          </w:p>
          <w:p w14:paraId="3738917B">
            <w:pPr>
              <w:pStyle w:val="56"/>
              <w:numPr>
                <w:ilvl w:val="0"/>
                <w:numId w:val="10"/>
              </w:numPr>
              <w:spacing w:after="0" w:line="240" w:lineRule="auto"/>
              <w:ind w:left="452"/>
              <w:rPr>
                <w:sz w:val="20"/>
                <w:szCs w:val="20"/>
              </w:rPr>
            </w:pPr>
            <w:r>
              <w:rPr>
                <w:sz w:val="20"/>
                <w:szCs w:val="20"/>
              </w:rPr>
              <w:t>Dimensi Penggunaan</w:t>
            </w:r>
          </w:p>
          <w:p w14:paraId="1031F407">
            <w:pPr>
              <w:pStyle w:val="56"/>
              <w:numPr>
                <w:ilvl w:val="0"/>
                <w:numId w:val="10"/>
              </w:numPr>
              <w:spacing w:after="0" w:line="240" w:lineRule="auto"/>
              <w:ind w:left="452"/>
              <w:rPr>
                <w:sz w:val="20"/>
                <w:szCs w:val="20"/>
              </w:rPr>
            </w:pPr>
            <w:r>
              <w:rPr>
                <w:sz w:val="20"/>
                <w:szCs w:val="20"/>
              </w:rPr>
              <w:t>Dimensi Kualitas</w:t>
            </w:r>
          </w:p>
          <w:p w14:paraId="676B7793">
            <w:pPr>
              <w:pStyle w:val="56"/>
              <w:numPr>
                <w:ilvl w:val="0"/>
                <w:numId w:val="10"/>
              </w:numPr>
              <w:spacing w:after="0" w:line="240" w:lineRule="auto"/>
              <w:ind w:left="452"/>
              <w:rPr>
                <w:sz w:val="20"/>
                <w:szCs w:val="20"/>
              </w:rPr>
            </w:pPr>
            <w:r>
              <w:rPr>
                <w:sz w:val="20"/>
                <w:szCs w:val="20"/>
              </w:rPr>
              <w:t>Dimensi Kesejahteraan</w:t>
            </w:r>
          </w:p>
        </w:tc>
        <w:tc>
          <w:tcPr>
            <w:tcW w:w="1350" w:type="dxa"/>
          </w:tcPr>
          <w:p w14:paraId="20D723BD">
            <w:pPr>
              <w:spacing w:after="0" w:line="240" w:lineRule="auto"/>
              <w:rPr>
                <w:sz w:val="20"/>
                <w:szCs w:val="20"/>
              </w:rPr>
            </w:pPr>
            <w:r>
              <w:rPr>
                <w:sz w:val="20"/>
                <w:szCs w:val="20"/>
              </w:rPr>
              <w:fldChar w:fldCharType="begin" w:fldLock="1"/>
            </w:r>
            <w:r>
              <w:rPr>
                <w:sz w:val="20"/>
                <w:szCs w:val="20"/>
              </w:rPr>
              <w:instrText xml:space="preserve">ADDIN CSL_CITATION {"citationItems":[{"id":"ITEM-1","itemData":{"author":[{"dropping-particle":"","family":"Putra","given":"Risaldi Salva","non-dropping-particle":"","parse-names":false,"suffix":""}],"id":"ITEM-1","issued":{"date-parts":[["2023"]]},"title":"PENGARUH LITERASI KEUANGAN DAN INKLUSI KEUANGAN TERHADAP PERILAKU KEUANGAN MAHASISWA PROGRAM STUDI AKUNTANSI FAKULTAS EKONOMI UNIVERSITAS BORNEO TARAKAN DENGAN GENDER SEBAGAI VARIABEL MODERASI [SKRIPSI]","type":"thesis"},"uris":["http://www.mendeley.com/documents/?uuid=1971847c-54d5-4387-a64a-45db8b3194bc"]}],"mendeley":{"formattedCitation":"(Putra, 2023)","plainTextFormattedCitation":"(Putra, 2023)","previouslyFormattedCitation":"(Putra, 2023)"},"properties":{"noteIndex":0},"schema":"https://github.com/citation-style-language/schema/raw/master/csl-citation.json"}</w:instrText>
            </w:r>
            <w:r>
              <w:rPr>
                <w:sz w:val="20"/>
                <w:szCs w:val="20"/>
              </w:rPr>
              <w:fldChar w:fldCharType="separate"/>
            </w:r>
            <w:r>
              <w:rPr>
                <w:sz w:val="20"/>
                <w:szCs w:val="20"/>
              </w:rPr>
              <w:t>(Putra, 2023)</w:t>
            </w:r>
            <w:r>
              <w:rPr>
                <w:sz w:val="20"/>
                <w:szCs w:val="20"/>
              </w:rPr>
              <w:fldChar w:fldCharType="end"/>
            </w:r>
          </w:p>
          <w:p w14:paraId="7882BB42">
            <w:pPr>
              <w:spacing w:after="0" w:line="240" w:lineRule="auto"/>
              <w:rPr>
                <w:sz w:val="20"/>
                <w:szCs w:val="20"/>
              </w:rPr>
            </w:pPr>
          </w:p>
        </w:tc>
        <w:tc>
          <w:tcPr>
            <w:tcW w:w="1350" w:type="dxa"/>
          </w:tcPr>
          <w:p w14:paraId="4A56DC9F">
            <w:pPr>
              <w:spacing w:after="0" w:line="240" w:lineRule="auto"/>
              <w:rPr>
                <w:sz w:val="20"/>
                <w:szCs w:val="20"/>
              </w:rPr>
            </w:pPr>
            <w:r>
              <w:rPr>
                <w:sz w:val="20"/>
                <w:szCs w:val="20"/>
              </w:rPr>
              <w:t>Skala likert</w:t>
            </w:r>
          </w:p>
        </w:tc>
      </w:tr>
      <w:tr w14:paraId="21E4443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599" w:hRule="atLeast"/>
        </w:trPr>
        <w:tc>
          <w:tcPr>
            <w:tcW w:w="1428" w:type="dxa"/>
          </w:tcPr>
          <w:p w14:paraId="09E65017">
            <w:pPr>
              <w:spacing w:after="0" w:line="240" w:lineRule="auto"/>
              <w:rPr>
                <w:sz w:val="20"/>
                <w:szCs w:val="20"/>
              </w:rPr>
            </w:pPr>
            <w:r>
              <w:rPr>
                <w:sz w:val="20"/>
                <w:szCs w:val="20"/>
              </w:rPr>
              <w:t>Perilaku Keuangan (Y)</w:t>
            </w:r>
          </w:p>
        </w:tc>
        <w:tc>
          <w:tcPr>
            <w:tcW w:w="4512" w:type="dxa"/>
          </w:tcPr>
          <w:p w14:paraId="639B2EF0">
            <w:pPr>
              <w:pStyle w:val="56"/>
              <w:numPr>
                <w:ilvl w:val="0"/>
                <w:numId w:val="11"/>
              </w:numPr>
              <w:autoSpaceDE w:val="0"/>
              <w:autoSpaceDN w:val="0"/>
              <w:adjustRightInd w:val="0"/>
              <w:spacing w:after="0" w:line="240" w:lineRule="auto"/>
              <w:ind w:left="452"/>
              <w:rPr>
                <w:sz w:val="20"/>
                <w:szCs w:val="20"/>
              </w:rPr>
            </w:pPr>
            <w:r>
              <w:rPr>
                <w:sz w:val="20"/>
                <w:szCs w:val="20"/>
              </w:rPr>
              <w:t xml:space="preserve">Membayar tagihan tepat waktu (misalnya: uang kost, utang, uang catering, dan lain-lain) </w:t>
            </w:r>
          </w:p>
          <w:p w14:paraId="53649573">
            <w:pPr>
              <w:pStyle w:val="56"/>
              <w:numPr>
                <w:ilvl w:val="0"/>
                <w:numId w:val="11"/>
              </w:numPr>
              <w:autoSpaceDE w:val="0"/>
              <w:autoSpaceDN w:val="0"/>
              <w:adjustRightInd w:val="0"/>
              <w:spacing w:after="0" w:line="240" w:lineRule="auto"/>
              <w:ind w:left="452"/>
              <w:rPr>
                <w:sz w:val="20"/>
                <w:szCs w:val="20"/>
              </w:rPr>
            </w:pPr>
            <w:r>
              <w:rPr>
                <w:sz w:val="20"/>
                <w:szCs w:val="20"/>
              </w:rPr>
              <w:t>Membuat anggaran pengeluaran dan belanja sendiri</w:t>
            </w:r>
          </w:p>
          <w:p w14:paraId="54C64048">
            <w:pPr>
              <w:pStyle w:val="56"/>
              <w:numPr>
                <w:ilvl w:val="0"/>
                <w:numId w:val="11"/>
              </w:numPr>
              <w:autoSpaceDE w:val="0"/>
              <w:autoSpaceDN w:val="0"/>
              <w:adjustRightInd w:val="0"/>
              <w:spacing w:after="0" w:line="240" w:lineRule="auto"/>
              <w:ind w:left="452"/>
              <w:rPr>
                <w:sz w:val="20"/>
                <w:szCs w:val="20"/>
              </w:rPr>
            </w:pPr>
            <w:r>
              <w:rPr>
                <w:sz w:val="20"/>
                <w:szCs w:val="20"/>
              </w:rPr>
              <w:t>Mencatat pengeluaran dan belanja (harian, mingguan, bulanan, dan lain-lain)</w:t>
            </w:r>
          </w:p>
          <w:p w14:paraId="549CEC63">
            <w:pPr>
              <w:pStyle w:val="56"/>
              <w:numPr>
                <w:ilvl w:val="0"/>
                <w:numId w:val="11"/>
              </w:numPr>
              <w:autoSpaceDE w:val="0"/>
              <w:autoSpaceDN w:val="0"/>
              <w:adjustRightInd w:val="0"/>
              <w:spacing w:after="0" w:line="240" w:lineRule="auto"/>
              <w:ind w:left="452"/>
              <w:rPr>
                <w:sz w:val="20"/>
                <w:szCs w:val="20"/>
              </w:rPr>
            </w:pPr>
            <w:r>
              <w:rPr>
                <w:sz w:val="20"/>
                <w:szCs w:val="20"/>
              </w:rPr>
              <w:t>Menyediakan dana untuk pengeluaran tidak terduga</w:t>
            </w:r>
          </w:p>
          <w:p w14:paraId="232570D3">
            <w:pPr>
              <w:pStyle w:val="56"/>
              <w:numPr>
                <w:ilvl w:val="0"/>
                <w:numId w:val="11"/>
              </w:numPr>
              <w:autoSpaceDE w:val="0"/>
              <w:autoSpaceDN w:val="0"/>
              <w:adjustRightInd w:val="0"/>
              <w:spacing w:after="0" w:line="240" w:lineRule="auto"/>
              <w:ind w:left="452"/>
              <w:rPr>
                <w:sz w:val="20"/>
                <w:szCs w:val="20"/>
              </w:rPr>
            </w:pPr>
            <w:r>
              <w:rPr>
                <w:sz w:val="20"/>
                <w:szCs w:val="20"/>
              </w:rPr>
              <w:t>Membandingkan harga antar toko atau swalayan atau supermaket sebelum memutuskan untuk melakukan pembelian</w:t>
            </w:r>
          </w:p>
        </w:tc>
        <w:tc>
          <w:tcPr>
            <w:tcW w:w="1350" w:type="dxa"/>
          </w:tcPr>
          <w:p w14:paraId="6E6626D7">
            <w:pPr>
              <w:spacing w:after="0" w:line="240" w:lineRule="auto"/>
              <w:rPr>
                <w:sz w:val="20"/>
                <w:szCs w:val="20"/>
              </w:rPr>
            </w:pPr>
            <w:r>
              <w:rPr>
                <w:sz w:val="20"/>
                <w:szCs w:val="20"/>
              </w:rPr>
              <w:fldChar w:fldCharType="begin" w:fldLock="1"/>
            </w:r>
            <w:r>
              <w:rPr>
                <w:sz w:val="20"/>
                <w:szCs w:val="20"/>
              </w:rPr>
              <w:instrText xml:space="preserve">ADDIN CSL_CITATION {"citationItems":[{"id":"ITEM-1","itemData":{"DOI":"10.33395/owner.v8i3.2258","ISSN":"2548-7507","abstract":"Financial behavior is the actions a person takes in processing, managing and using financial from existing sources. Individuals who have financial behavior tend to have an effective attitude in using the finances they obtain. Someone who is good at financial management, the process of managing financial expenses and income as well as using financial resources from existing resources. Therefore this research aims to determine the influence of accounting learning, financial literacy and self-control on the financial behavior of individual students majoring in accounting at universities in Banjarmasin. The population in this study were students majoring in accounting from several universities in the city of Banjarmasin, especially STIE Indonesia Banjarmasin, STIE Nasional, STIE Pancasetia and Lambung Mangkurat university. The sampling technique in this research used purposive sampling. The number of samples obtained was 100 respondents. The data collection technique used was a questionnaire. This research uses mulitiple linear regression analiysis. The results of the research show that the variabels of accounting learning and financial literacy have a positive and significant effect on the individual financial behavior of students majoring in accounting at universities in Banjarmasin, while self-control has no effect on individual financial behavior of students majoring in accounting at a university in Banjarmasin.","author":[{"dropping-particle":"","family":"Yatiningsih","given":"Ana","non-dropping-particle":"","parse-names":false,"suffix":""},{"dropping-particle":"","family":"Boedi","given":"Soelistijono","non-dropping-particle":"","parse-names":false,"suffix":""},{"dropping-particle":"","family":"Ruwanti","given":"Gemi","non-dropping-particle":"","parse-names":false,"suffix":""},{"dropping-particle":"","family":"Kadir","given":"Abdul","non-dropping-particle":"","parse-names":false,"suffix":""}],"container-title":"Owner","id":"ITEM-1","issue":"3","issued":{"date-parts":[["2024","6","30"]]},"page":"2041-2050","publisher":"Politeknik Ganesha","title":"Pengaruh Pembelajaran Akuntansi, Literasi Keuangan dan Kontrol Diri terhadap Perilaku Keuangan Mahasiswa Akuntansi","type":"article-journal","volume":"8"},"uris":["http://www.mendeley.com/documents/?uuid=d46ac367-df6b-35ef-8ac7-be5f275abd68"]}],"mendeley":{"formattedCitation":"(Yatiningsih et al., 2024)","manualFormatting":"(Yatiningsih dkk., 2024)","plainTextFormattedCitation":"(Yatiningsih et al., 2024)","previouslyFormattedCitation":"(Yatiningsih et al., 2024)"},"properties":{"noteIndex":0},"schema":"https://github.com/citation-style-language/schema/raw/master/csl-citation.json"}</w:instrText>
            </w:r>
            <w:r>
              <w:rPr>
                <w:sz w:val="20"/>
                <w:szCs w:val="20"/>
              </w:rPr>
              <w:fldChar w:fldCharType="separate"/>
            </w:r>
            <w:r>
              <w:rPr>
                <w:sz w:val="20"/>
                <w:szCs w:val="20"/>
              </w:rPr>
              <w:t>(Yatiningsih dkk., 2024)</w:t>
            </w:r>
            <w:r>
              <w:rPr>
                <w:sz w:val="20"/>
                <w:szCs w:val="20"/>
              </w:rPr>
              <w:fldChar w:fldCharType="end"/>
            </w:r>
          </w:p>
        </w:tc>
        <w:tc>
          <w:tcPr>
            <w:tcW w:w="1350" w:type="dxa"/>
          </w:tcPr>
          <w:p w14:paraId="5FECFE4A">
            <w:pPr>
              <w:spacing w:after="0" w:line="240" w:lineRule="auto"/>
              <w:rPr>
                <w:sz w:val="20"/>
                <w:szCs w:val="20"/>
              </w:rPr>
            </w:pPr>
            <w:r>
              <w:rPr>
                <w:sz w:val="20"/>
                <w:szCs w:val="20"/>
              </w:rPr>
              <w:t>Skala likert</w:t>
            </w:r>
          </w:p>
        </w:tc>
      </w:tr>
    </w:tbl>
    <w:p w14:paraId="2E10DCD0">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jc w:val="both"/>
      </w:pPr>
    </w:p>
    <w:p w14:paraId="7F9C1AAD">
      <w:pPr>
        <w:pStyle w:val="2"/>
        <w:numPr>
          <w:ilvl w:val="0"/>
          <w:numId w:val="3"/>
        </w:numPr>
        <w:ind w:right="566"/>
      </w:pPr>
      <w:r>
        <w:t xml:space="preserve">Hasil dan Pembahasan </w:t>
      </w:r>
    </w:p>
    <w:p w14:paraId="4C92C303">
      <w:pPr>
        <w:rPr>
          <w:lang w:eastAsia="zh-CN"/>
        </w:rPr>
      </w:pPr>
    </w:p>
    <w:p w14:paraId="2E9117F1">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jc w:val="center"/>
        <w:rPr>
          <w:color w:val="000000"/>
          <w:sz w:val="20"/>
          <w:szCs w:val="20"/>
        </w:rPr>
      </w:pPr>
      <w:r>
        <w:rPr>
          <w:color w:val="000000"/>
          <w:sz w:val="20"/>
          <w:szCs w:val="20"/>
        </w:rPr>
        <w:t>Tabel 2. Uji Validitas</w:t>
      </w:r>
    </w:p>
    <w:tbl>
      <w:tblPr>
        <w:tblStyle w:val="18"/>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110"/>
        <w:gridCol w:w="962"/>
        <w:gridCol w:w="1258"/>
        <w:gridCol w:w="1137"/>
        <w:gridCol w:w="806"/>
        <w:gridCol w:w="1227"/>
      </w:tblGrid>
      <w:tr w14:paraId="091B319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0" w:hRule="atLeast"/>
          <w:jc w:val="center"/>
        </w:trPr>
        <w:tc>
          <w:tcPr>
            <w:tcW w:w="1110" w:type="dxa"/>
          </w:tcPr>
          <w:p w14:paraId="2781C0B6">
            <w:pPr>
              <w:pStyle w:val="56"/>
              <w:spacing w:after="0" w:line="240" w:lineRule="auto"/>
              <w:ind w:left="0"/>
              <w:jc w:val="center"/>
              <w:rPr>
                <w:b/>
                <w:bCs/>
                <w:sz w:val="20"/>
                <w:szCs w:val="20"/>
              </w:rPr>
            </w:pPr>
            <w:r>
              <w:rPr>
                <w:b/>
                <w:bCs/>
                <w:sz w:val="20"/>
                <w:szCs w:val="20"/>
              </w:rPr>
              <w:t>Variabel</w:t>
            </w:r>
          </w:p>
        </w:tc>
        <w:tc>
          <w:tcPr>
            <w:tcW w:w="962" w:type="dxa"/>
          </w:tcPr>
          <w:p w14:paraId="37CACE80">
            <w:pPr>
              <w:pStyle w:val="56"/>
              <w:spacing w:after="0" w:line="240" w:lineRule="auto"/>
              <w:ind w:left="0"/>
              <w:jc w:val="center"/>
              <w:rPr>
                <w:b/>
                <w:bCs/>
                <w:sz w:val="20"/>
                <w:szCs w:val="20"/>
              </w:rPr>
            </w:pPr>
            <w:r>
              <w:rPr>
                <w:b/>
                <w:bCs/>
                <w:sz w:val="20"/>
                <w:szCs w:val="20"/>
              </w:rPr>
              <w:t>Item</w:t>
            </w:r>
          </w:p>
        </w:tc>
        <w:tc>
          <w:tcPr>
            <w:tcW w:w="1258" w:type="dxa"/>
          </w:tcPr>
          <w:p w14:paraId="7A60C9CE">
            <w:pPr>
              <w:pStyle w:val="56"/>
              <w:spacing w:after="0" w:line="240" w:lineRule="auto"/>
              <w:ind w:left="0"/>
              <w:jc w:val="center"/>
              <w:rPr>
                <w:b/>
                <w:bCs/>
                <w:sz w:val="20"/>
                <w:szCs w:val="20"/>
              </w:rPr>
            </w:pPr>
            <w:r>
              <w:rPr>
                <w:b/>
                <w:bCs/>
                <w:sz w:val="20"/>
                <w:szCs w:val="20"/>
              </w:rPr>
              <w:t>R Tabel</w:t>
            </w:r>
          </w:p>
        </w:tc>
        <w:tc>
          <w:tcPr>
            <w:tcW w:w="1137" w:type="dxa"/>
          </w:tcPr>
          <w:p w14:paraId="6E2AE4B6">
            <w:pPr>
              <w:pStyle w:val="56"/>
              <w:spacing w:after="0" w:line="240" w:lineRule="auto"/>
              <w:ind w:left="0"/>
              <w:jc w:val="center"/>
              <w:rPr>
                <w:b/>
                <w:bCs/>
                <w:sz w:val="20"/>
                <w:szCs w:val="20"/>
              </w:rPr>
            </w:pPr>
            <w:r>
              <w:rPr>
                <w:b/>
                <w:bCs/>
                <w:sz w:val="20"/>
                <w:szCs w:val="20"/>
              </w:rPr>
              <w:t>R Hitung</w:t>
            </w:r>
          </w:p>
        </w:tc>
        <w:tc>
          <w:tcPr>
            <w:tcW w:w="806" w:type="dxa"/>
          </w:tcPr>
          <w:p w14:paraId="7E950423">
            <w:pPr>
              <w:pStyle w:val="56"/>
              <w:spacing w:after="0" w:line="240" w:lineRule="auto"/>
              <w:ind w:left="0"/>
              <w:jc w:val="center"/>
              <w:rPr>
                <w:b/>
                <w:bCs/>
                <w:sz w:val="20"/>
                <w:szCs w:val="20"/>
              </w:rPr>
            </w:pPr>
            <w:r>
              <w:rPr>
                <w:b/>
                <w:bCs/>
                <w:sz w:val="20"/>
                <w:szCs w:val="20"/>
              </w:rPr>
              <w:t>Sig</w:t>
            </w:r>
          </w:p>
        </w:tc>
        <w:tc>
          <w:tcPr>
            <w:tcW w:w="1176" w:type="dxa"/>
          </w:tcPr>
          <w:p w14:paraId="35CCB3D1">
            <w:pPr>
              <w:pStyle w:val="56"/>
              <w:spacing w:after="0" w:line="240" w:lineRule="auto"/>
              <w:ind w:left="0"/>
              <w:jc w:val="center"/>
              <w:rPr>
                <w:b/>
                <w:bCs/>
                <w:sz w:val="20"/>
                <w:szCs w:val="20"/>
              </w:rPr>
            </w:pPr>
            <w:r>
              <w:rPr>
                <w:b/>
                <w:bCs/>
                <w:sz w:val="20"/>
                <w:szCs w:val="20"/>
              </w:rPr>
              <w:t>Keterangan</w:t>
            </w:r>
          </w:p>
        </w:tc>
      </w:tr>
      <w:tr w14:paraId="197BDC3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0" w:hRule="atLeast"/>
          <w:jc w:val="center"/>
        </w:trPr>
        <w:tc>
          <w:tcPr>
            <w:tcW w:w="1110" w:type="dxa"/>
            <w:vMerge w:val="restart"/>
            <w:shd w:val="clear" w:color="auto" w:fill="auto"/>
          </w:tcPr>
          <w:p w14:paraId="73495CF1">
            <w:pPr>
              <w:pStyle w:val="56"/>
              <w:spacing w:after="0" w:line="240" w:lineRule="auto"/>
              <w:ind w:left="0"/>
              <w:jc w:val="center"/>
              <w:rPr>
                <w:b/>
                <w:bCs/>
                <w:sz w:val="20"/>
                <w:szCs w:val="20"/>
              </w:rPr>
            </w:pPr>
            <w:r>
              <w:rPr>
                <w:b/>
                <w:bCs/>
                <w:sz w:val="20"/>
                <w:szCs w:val="20"/>
              </w:rPr>
              <w:t>X1</w:t>
            </w:r>
          </w:p>
        </w:tc>
        <w:tc>
          <w:tcPr>
            <w:tcW w:w="962" w:type="dxa"/>
          </w:tcPr>
          <w:p w14:paraId="607F7E83">
            <w:pPr>
              <w:pStyle w:val="56"/>
              <w:spacing w:after="0" w:line="240" w:lineRule="auto"/>
              <w:ind w:left="0"/>
              <w:rPr>
                <w:sz w:val="20"/>
                <w:szCs w:val="20"/>
              </w:rPr>
            </w:pPr>
            <w:r>
              <w:rPr>
                <w:sz w:val="20"/>
                <w:szCs w:val="20"/>
              </w:rPr>
              <w:t>X1.1</w:t>
            </w:r>
          </w:p>
        </w:tc>
        <w:tc>
          <w:tcPr>
            <w:tcW w:w="1258" w:type="dxa"/>
          </w:tcPr>
          <w:p w14:paraId="16255643">
            <w:pPr>
              <w:pStyle w:val="56"/>
              <w:spacing w:after="0" w:line="240" w:lineRule="auto"/>
              <w:ind w:left="0"/>
              <w:jc w:val="center"/>
              <w:rPr>
                <w:sz w:val="20"/>
                <w:szCs w:val="20"/>
              </w:rPr>
            </w:pPr>
            <w:r>
              <w:rPr>
                <w:sz w:val="20"/>
                <w:szCs w:val="20"/>
              </w:rPr>
              <w:t>0,184</w:t>
            </w:r>
          </w:p>
        </w:tc>
        <w:tc>
          <w:tcPr>
            <w:tcW w:w="1137" w:type="dxa"/>
          </w:tcPr>
          <w:p w14:paraId="316B06AE">
            <w:pPr>
              <w:pStyle w:val="56"/>
              <w:spacing w:after="0" w:line="240" w:lineRule="auto"/>
              <w:ind w:left="0"/>
              <w:jc w:val="center"/>
              <w:rPr>
                <w:sz w:val="20"/>
                <w:szCs w:val="20"/>
              </w:rPr>
            </w:pPr>
            <w:r>
              <w:rPr>
                <w:sz w:val="20"/>
                <w:szCs w:val="20"/>
              </w:rPr>
              <w:t>0,687</w:t>
            </w:r>
          </w:p>
        </w:tc>
        <w:tc>
          <w:tcPr>
            <w:tcW w:w="806" w:type="dxa"/>
          </w:tcPr>
          <w:p w14:paraId="71EC1FD8">
            <w:pPr>
              <w:pStyle w:val="56"/>
              <w:spacing w:after="0" w:line="240" w:lineRule="auto"/>
              <w:ind w:left="0"/>
              <w:jc w:val="center"/>
              <w:rPr>
                <w:sz w:val="20"/>
                <w:szCs w:val="20"/>
              </w:rPr>
            </w:pPr>
            <w:r>
              <w:rPr>
                <w:sz w:val="20"/>
                <w:szCs w:val="20"/>
              </w:rPr>
              <w:t>0,00</w:t>
            </w:r>
          </w:p>
        </w:tc>
        <w:tc>
          <w:tcPr>
            <w:tcW w:w="1176" w:type="dxa"/>
          </w:tcPr>
          <w:p w14:paraId="0A8E8B1F">
            <w:pPr>
              <w:pStyle w:val="56"/>
              <w:spacing w:after="0" w:line="240" w:lineRule="auto"/>
              <w:ind w:left="0"/>
              <w:jc w:val="center"/>
              <w:rPr>
                <w:sz w:val="20"/>
                <w:szCs w:val="20"/>
              </w:rPr>
            </w:pPr>
            <w:r>
              <w:rPr>
                <w:sz w:val="20"/>
                <w:szCs w:val="20"/>
              </w:rPr>
              <w:t>Valid</w:t>
            </w:r>
          </w:p>
        </w:tc>
      </w:tr>
      <w:tr w14:paraId="63D8BA5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0" w:hRule="atLeast"/>
          <w:jc w:val="center"/>
        </w:trPr>
        <w:tc>
          <w:tcPr>
            <w:tcW w:w="1110" w:type="dxa"/>
            <w:vMerge w:val="continue"/>
            <w:shd w:val="clear" w:color="auto" w:fill="auto"/>
          </w:tcPr>
          <w:p w14:paraId="3FBCB793">
            <w:pPr>
              <w:pStyle w:val="56"/>
              <w:spacing w:after="0" w:line="240" w:lineRule="auto"/>
              <w:ind w:left="0"/>
              <w:jc w:val="center"/>
              <w:rPr>
                <w:b/>
                <w:bCs/>
                <w:sz w:val="20"/>
                <w:szCs w:val="20"/>
              </w:rPr>
            </w:pPr>
          </w:p>
        </w:tc>
        <w:tc>
          <w:tcPr>
            <w:tcW w:w="962" w:type="dxa"/>
          </w:tcPr>
          <w:p w14:paraId="45DB4AB5">
            <w:pPr>
              <w:pStyle w:val="56"/>
              <w:spacing w:after="0" w:line="240" w:lineRule="auto"/>
              <w:ind w:left="0"/>
              <w:rPr>
                <w:sz w:val="20"/>
                <w:szCs w:val="20"/>
              </w:rPr>
            </w:pPr>
            <w:r>
              <w:rPr>
                <w:sz w:val="20"/>
                <w:szCs w:val="20"/>
              </w:rPr>
              <w:t>X1.2</w:t>
            </w:r>
          </w:p>
        </w:tc>
        <w:tc>
          <w:tcPr>
            <w:tcW w:w="1258" w:type="dxa"/>
          </w:tcPr>
          <w:p w14:paraId="08CDE676">
            <w:pPr>
              <w:pStyle w:val="56"/>
              <w:spacing w:after="0" w:line="240" w:lineRule="auto"/>
              <w:ind w:left="0"/>
              <w:jc w:val="center"/>
              <w:rPr>
                <w:sz w:val="20"/>
                <w:szCs w:val="20"/>
              </w:rPr>
            </w:pPr>
            <w:r>
              <w:rPr>
                <w:sz w:val="20"/>
                <w:szCs w:val="20"/>
              </w:rPr>
              <w:t>0,184</w:t>
            </w:r>
          </w:p>
        </w:tc>
        <w:tc>
          <w:tcPr>
            <w:tcW w:w="1137" w:type="dxa"/>
          </w:tcPr>
          <w:p w14:paraId="5E0EF523">
            <w:pPr>
              <w:pStyle w:val="56"/>
              <w:spacing w:after="0" w:line="240" w:lineRule="auto"/>
              <w:ind w:left="0"/>
              <w:jc w:val="center"/>
              <w:rPr>
                <w:sz w:val="20"/>
                <w:szCs w:val="20"/>
              </w:rPr>
            </w:pPr>
            <w:r>
              <w:rPr>
                <w:sz w:val="20"/>
                <w:szCs w:val="20"/>
              </w:rPr>
              <w:t>0,679</w:t>
            </w:r>
          </w:p>
        </w:tc>
        <w:tc>
          <w:tcPr>
            <w:tcW w:w="806" w:type="dxa"/>
          </w:tcPr>
          <w:p w14:paraId="7EDF295C">
            <w:pPr>
              <w:pStyle w:val="56"/>
              <w:spacing w:after="0" w:line="240" w:lineRule="auto"/>
              <w:ind w:left="0"/>
              <w:jc w:val="center"/>
              <w:rPr>
                <w:sz w:val="20"/>
                <w:szCs w:val="20"/>
              </w:rPr>
            </w:pPr>
            <w:r>
              <w:rPr>
                <w:sz w:val="20"/>
                <w:szCs w:val="20"/>
              </w:rPr>
              <w:t>0,00</w:t>
            </w:r>
          </w:p>
        </w:tc>
        <w:tc>
          <w:tcPr>
            <w:tcW w:w="1176" w:type="dxa"/>
          </w:tcPr>
          <w:p w14:paraId="5242B2F8">
            <w:pPr>
              <w:pStyle w:val="56"/>
              <w:spacing w:after="0" w:line="240" w:lineRule="auto"/>
              <w:ind w:left="0"/>
              <w:jc w:val="center"/>
              <w:rPr>
                <w:sz w:val="20"/>
                <w:szCs w:val="20"/>
              </w:rPr>
            </w:pPr>
            <w:r>
              <w:rPr>
                <w:sz w:val="20"/>
                <w:szCs w:val="20"/>
              </w:rPr>
              <w:t>Valid</w:t>
            </w:r>
          </w:p>
        </w:tc>
      </w:tr>
      <w:tr w14:paraId="530D543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14" w:hRule="atLeast"/>
          <w:jc w:val="center"/>
        </w:trPr>
        <w:tc>
          <w:tcPr>
            <w:tcW w:w="1110" w:type="dxa"/>
            <w:vMerge w:val="continue"/>
            <w:shd w:val="clear" w:color="auto" w:fill="auto"/>
          </w:tcPr>
          <w:p w14:paraId="0C72A608">
            <w:pPr>
              <w:pStyle w:val="56"/>
              <w:spacing w:after="0" w:line="240" w:lineRule="auto"/>
              <w:ind w:left="0"/>
              <w:jc w:val="center"/>
              <w:rPr>
                <w:b/>
                <w:bCs/>
                <w:sz w:val="20"/>
                <w:szCs w:val="20"/>
              </w:rPr>
            </w:pPr>
          </w:p>
        </w:tc>
        <w:tc>
          <w:tcPr>
            <w:tcW w:w="962" w:type="dxa"/>
          </w:tcPr>
          <w:p w14:paraId="25583A61">
            <w:pPr>
              <w:pStyle w:val="56"/>
              <w:spacing w:after="0" w:line="240" w:lineRule="auto"/>
              <w:ind w:left="0"/>
              <w:rPr>
                <w:sz w:val="20"/>
                <w:szCs w:val="20"/>
              </w:rPr>
            </w:pPr>
            <w:r>
              <w:rPr>
                <w:sz w:val="20"/>
                <w:szCs w:val="20"/>
              </w:rPr>
              <w:t>X1.3</w:t>
            </w:r>
          </w:p>
        </w:tc>
        <w:tc>
          <w:tcPr>
            <w:tcW w:w="1258" w:type="dxa"/>
          </w:tcPr>
          <w:p w14:paraId="44C45AED">
            <w:pPr>
              <w:pStyle w:val="56"/>
              <w:spacing w:after="0" w:line="240" w:lineRule="auto"/>
              <w:ind w:left="0"/>
              <w:jc w:val="center"/>
              <w:rPr>
                <w:sz w:val="20"/>
                <w:szCs w:val="20"/>
              </w:rPr>
            </w:pPr>
            <w:r>
              <w:rPr>
                <w:sz w:val="20"/>
                <w:szCs w:val="20"/>
              </w:rPr>
              <w:t>0,184</w:t>
            </w:r>
          </w:p>
        </w:tc>
        <w:tc>
          <w:tcPr>
            <w:tcW w:w="1137" w:type="dxa"/>
          </w:tcPr>
          <w:p w14:paraId="3BE11F13">
            <w:pPr>
              <w:pStyle w:val="56"/>
              <w:spacing w:after="0" w:line="240" w:lineRule="auto"/>
              <w:ind w:left="0"/>
              <w:jc w:val="center"/>
              <w:rPr>
                <w:sz w:val="20"/>
                <w:szCs w:val="20"/>
              </w:rPr>
            </w:pPr>
            <w:r>
              <w:rPr>
                <w:sz w:val="20"/>
                <w:szCs w:val="20"/>
              </w:rPr>
              <w:t>0,758</w:t>
            </w:r>
          </w:p>
        </w:tc>
        <w:tc>
          <w:tcPr>
            <w:tcW w:w="806" w:type="dxa"/>
          </w:tcPr>
          <w:p w14:paraId="4671E1BC">
            <w:pPr>
              <w:pStyle w:val="56"/>
              <w:spacing w:after="0" w:line="240" w:lineRule="auto"/>
              <w:ind w:left="0"/>
              <w:jc w:val="center"/>
              <w:rPr>
                <w:sz w:val="20"/>
                <w:szCs w:val="20"/>
              </w:rPr>
            </w:pPr>
            <w:r>
              <w:rPr>
                <w:sz w:val="20"/>
                <w:szCs w:val="20"/>
              </w:rPr>
              <w:t>0,00</w:t>
            </w:r>
          </w:p>
        </w:tc>
        <w:tc>
          <w:tcPr>
            <w:tcW w:w="1176" w:type="dxa"/>
          </w:tcPr>
          <w:p w14:paraId="19EDCE3A">
            <w:pPr>
              <w:pStyle w:val="56"/>
              <w:spacing w:after="0" w:line="240" w:lineRule="auto"/>
              <w:ind w:left="0"/>
              <w:jc w:val="center"/>
              <w:rPr>
                <w:sz w:val="20"/>
                <w:szCs w:val="20"/>
              </w:rPr>
            </w:pPr>
            <w:r>
              <w:rPr>
                <w:sz w:val="20"/>
                <w:szCs w:val="20"/>
              </w:rPr>
              <w:t>Valid</w:t>
            </w:r>
          </w:p>
        </w:tc>
      </w:tr>
      <w:tr w14:paraId="06642FB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14" w:hRule="atLeast"/>
          <w:jc w:val="center"/>
        </w:trPr>
        <w:tc>
          <w:tcPr>
            <w:tcW w:w="1110" w:type="dxa"/>
            <w:vMerge w:val="continue"/>
            <w:shd w:val="clear" w:color="auto" w:fill="auto"/>
          </w:tcPr>
          <w:p w14:paraId="4165D22C">
            <w:pPr>
              <w:pStyle w:val="56"/>
              <w:spacing w:after="0" w:line="240" w:lineRule="auto"/>
              <w:ind w:left="0"/>
              <w:jc w:val="center"/>
              <w:rPr>
                <w:b/>
                <w:bCs/>
                <w:sz w:val="20"/>
                <w:szCs w:val="20"/>
              </w:rPr>
            </w:pPr>
          </w:p>
        </w:tc>
        <w:tc>
          <w:tcPr>
            <w:tcW w:w="962" w:type="dxa"/>
          </w:tcPr>
          <w:p w14:paraId="7A3CC14A">
            <w:pPr>
              <w:pStyle w:val="56"/>
              <w:spacing w:after="0" w:line="240" w:lineRule="auto"/>
              <w:ind w:left="0"/>
              <w:rPr>
                <w:sz w:val="20"/>
                <w:szCs w:val="20"/>
              </w:rPr>
            </w:pPr>
            <w:r>
              <w:rPr>
                <w:sz w:val="20"/>
                <w:szCs w:val="20"/>
              </w:rPr>
              <w:t>X1.4</w:t>
            </w:r>
          </w:p>
        </w:tc>
        <w:tc>
          <w:tcPr>
            <w:tcW w:w="1258" w:type="dxa"/>
          </w:tcPr>
          <w:p w14:paraId="07D035E3">
            <w:pPr>
              <w:pStyle w:val="56"/>
              <w:spacing w:after="0" w:line="240" w:lineRule="auto"/>
              <w:ind w:left="0"/>
              <w:jc w:val="center"/>
              <w:rPr>
                <w:sz w:val="20"/>
                <w:szCs w:val="20"/>
              </w:rPr>
            </w:pPr>
            <w:r>
              <w:rPr>
                <w:sz w:val="20"/>
                <w:szCs w:val="20"/>
              </w:rPr>
              <w:t>0,184</w:t>
            </w:r>
          </w:p>
        </w:tc>
        <w:tc>
          <w:tcPr>
            <w:tcW w:w="1137" w:type="dxa"/>
          </w:tcPr>
          <w:p w14:paraId="59AFFEA2">
            <w:pPr>
              <w:pStyle w:val="56"/>
              <w:spacing w:after="0" w:line="240" w:lineRule="auto"/>
              <w:ind w:left="0"/>
              <w:jc w:val="center"/>
              <w:rPr>
                <w:sz w:val="20"/>
                <w:szCs w:val="20"/>
              </w:rPr>
            </w:pPr>
            <w:r>
              <w:rPr>
                <w:sz w:val="20"/>
                <w:szCs w:val="20"/>
              </w:rPr>
              <w:t>0,614</w:t>
            </w:r>
          </w:p>
        </w:tc>
        <w:tc>
          <w:tcPr>
            <w:tcW w:w="806" w:type="dxa"/>
          </w:tcPr>
          <w:p w14:paraId="4FC87D65">
            <w:pPr>
              <w:pStyle w:val="56"/>
              <w:spacing w:after="0" w:line="240" w:lineRule="auto"/>
              <w:ind w:left="0"/>
              <w:jc w:val="center"/>
              <w:rPr>
                <w:sz w:val="20"/>
                <w:szCs w:val="20"/>
              </w:rPr>
            </w:pPr>
            <w:r>
              <w:rPr>
                <w:sz w:val="20"/>
                <w:szCs w:val="20"/>
              </w:rPr>
              <w:t>0,00</w:t>
            </w:r>
          </w:p>
        </w:tc>
        <w:tc>
          <w:tcPr>
            <w:tcW w:w="1176" w:type="dxa"/>
          </w:tcPr>
          <w:p w14:paraId="597F5EC9">
            <w:pPr>
              <w:pStyle w:val="56"/>
              <w:spacing w:after="0" w:line="240" w:lineRule="auto"/>
              <w:ind w:left="0"/>
              <w:jc w:val="center"/>
              <w:rPr>
                <w:sz w:val="20"/>
                <w:szCs w:val="20"/>
              </w:rPr>
            </w:pPr>
            <w:r>
              <w:rPr>
                <w:sz w:val="20"/>
                <w:szCs w:val="20"/>
              </w:rPr>
              <w:t>Valid</w:t>
            </w:r>
          </w:p>
        </w:tc>
      </w:tr>
      <w:tr w14:paraId="26E4919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0" w:hRule="atLeast"/>
          <w:jc w:val="center"/>
        </w:trPr>
        <w:tc>
          <w:tcPr>
            <w:tcW w:w="1110" w:type="dxa"/>
            <w:vMerge w:val="restart"/>
          </w:tcPr>
          <w:p w14:paraId="4C87727F">
            <w:pPr>
              <w:pStyle w:val="56"/>
              <w:spacing w:after="0" w:line="240" w:lineRule="auto"/>
              <w:ind w:left="0"/>
              <w:jc w:val="center"/>
              <w:rPr>
                <w:b/>
                <w:bCs/>
                <w:sz w:val="20"/>
                <w:szCs w:val="20"/>
              </w:rPr>
            </w:pPr>
            <w:r>
              <w:rPr>
                <w:b/>
                <w:bCs/>
                <w:sz w:val="20"/>
                <w:szCs w:val="20"/>
              </w:rPr>
              <w:t>X2</w:t>
            </w:r>
          </w:p>
        </w:tc>
        <w:tc>
          <w:tcPr>
            <w:tcW w:w="962" w:type="dxa"/>
          </w:tcPr>
          <w:p w14:paraId="03404503">
            <w:pPr>
              <w:pStyle w:val="56"/>
              <w:spacing w:after="0" w:line="240" w:lineRule="auto"/>
              <w:ind w:left="0"/>
              <w:rPr>
                <w:sz w:val="20"/>
                <w:szCs w:val="20"/>
              </w:rPr>
            </w:pPr>
            <w:r>
              <w:rPr>
                <w:sz w:val="20"/>
                <w:szCs w:val="20"/>
              </w:rPr>
              <w:t>X2.1</w:t>
            </w:r>
          </w:p>
        </w:tc>
        <w:tc>
          <w:tcPr>
            <w:tcW w:w="1258" w:type="dxa"/>
          </w:tcPr>
          <w:p w14:paraId="53A43385">
            <w:pPr>
              <w:pStyle w:val="56"/>
              <w:spacing w:after="0" w:line="240" w:lineRule="auto"/>
              <w:ind w:left="0"/>
              <w:jc w:val="center"/>
              <w:rPr>
                <w:sz w:val="20"/>
                <w:szCs w:val="20"/>
              </w:rPr>
            </w:pPr>
            <w:r>
              <w:rPr>
                <w:sz w:val="20"/>
                <w:szCs w:val="20"/>
              </w:rPr>
              <w:t>0,184</w:t>
            </w:r>
          </w:p>
        </w:tc>
        <w:tc>
          <w:tcPr>
            <w:tcW w:w="1137" w:type="dxa"/>
          </w:tcPr>
          <w:p w14:paraId="5D594E55">
            <w:pPr>
              <w:pStyle w:val="56"/>
              <w:spacing w:after="0" w:line="240" w:lineRule="auto"/>
              <w:ind w:left="0"/>
              <w:jc w:val="center"/>
              <w:rPr>
                <w:sz w:val="20"/>
                <w:szCs w:val="20"/>
              </w:rPr>
            </w:pPr>
            <w:r>
              <w:rPr>
                <w:sz w:val="20"/>
                <w:szCs w:val="20"/>
              </w:rPr>
              <w:t>0,418</w:t>
            </w:r>
          </w:p>
        </w:tc>
        <w:tc>
          <w:tcPr>
            <w:tcW w:w="806" w:type="dxa"/>
          </w:tcPr>
          <w:p w14:paraId="461EFBA1">
            <w:pPr>
              <w:pStyle w:val="56"/>
              <w:spacing w:after="0" w:line="240" w:lineRule="auto"/>
              <w:ind w:left="0"/>
              <w:jc w:val="center"/>
              <w:rPr>
                <w:sz w:val="20"/>
                <w:szCs w:val="20"/>
              </w:rPr>
            </w:pPr>
            <w:r>
              <w:rPr>
                <w:sz w:val="20"/>
                <w:szCs w:val="20"/>
              </w:rPr>
              <w:t>0,00</w:t>
            </w:r>
          </w:p>
        </w:tc>
        <w:tc>
          <w:tcPr>
            <w:tcW w:w="1176" w:type="dxa"/>
          </w:tcPr>
          <w:p w14:paraId="2DA826C8">
            <w:pPr>
              <w:pStyle w:val="56"/>
              <w:spacing w:after="0" w:line="240" w:lineRule="auto"/>
              <w:ind w:left="0"/>
              <w:jc w:val="center"/>
              <w:rPr>
                <w:sz w:val="20"/>
                <w:szCs w:val="20"/>
              </w:rPr>
            </w:pPr>
            <w:r>
              <w:rPr>
                <w:sz w:val="20"/>
                <w:szCs w:val="20"/>
              </w:rPr>
              <w:t>Valid</w:t>
            </w:r>
          </w:p>
        </w:tc>
      </w:tr>
      <w:tr w14:paraId="558BFCF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0" w:hRule="atLeast"/>
          <w:jc w:val="center"/>
        </w:trPr>
        <w:tc>
          <w:tcPr>
            <w:tcW w:w="1110" w:type="dxa"/>
            <w:vMerge w:val="continue"/>
          </w:tcPr>
          <w:p w14:paraId="29B1F38C">
            <w:pPr>
              <w:pStyle w:val="56"/>
              <w:spacing w:after="0" w:line="240" w:lineRule="auto"/>
              <w:ind w:left="0"/>
              <w:jc w:val="center"/>
              <w:rPr>
                <w:b/>
                <w:bCs/>
                <w:sz w:val="20"/>
                <w:szCs w:val="20"/>
              </w:rPr>
            </w:pPr>
          </w:p>
        </w:tc>
        <w:tc>
          <w:tcPr>
            <w:tcW w:w="962" w:type="dxa"/>
          </w:tcPr>
          <w:p w14:paraId="2AD90359">
            <w:pPr>
              <w:pStyle w:val="56"/>
              <w:spacing w:after="0" w:line="240" w:lineRule="auto"/>
              <w:ind w:left="0"/>
              <w:rPr>
                <w:sz w:val="20"/>
                <w:szCs w:val="20"/>
              </w:rPr>
            </w:pPr>
            <w:r>
              <w:rPr>
                <w:sz w:val="20"/>
                <w:szCs w:val="20"/>
              </w:rPr>
              <w:t>X2.2</w:t>
            </w:r>
          </w:p>
        </w:tc>
        <w:tc>
          <w:tcPr>
            <w:tcW w:w="1258" w:type="dxa"/>
          </w:tcPr>
          <w:p w14:paraId="62623DBA">
            <w:pPr>
              <w:pStyle w:val="56"/>
              <w:spacing w:after="0" w:line="240" w:lineRule="auto"/>
              <w:ind w:left="0"/>
              <w:jc w:val="center"/>
              <w:rPr>
                <w:sz w:val="20"/>
                <w:szCs w:val="20"/>
              </w:rPr>
            </w:pPr>
            <w:r>
              <w:rPr>
                <w:sz w:val="20"/>
                <w:szCs w:val="20"/>
              </w:rPr>
              <w:t>0,184</w:t>
            </w:r>
          </w:p>
        </w:tc>
        <w:tc>
          <w:tcPr>
            <w:tcW w:w="1137" w:type="dxa"/>
          </w:tcPr>
          <w:p w14:paraId="6DE704F3">
            <w:pPr>
              <w:pStyle w:val="56"/>
              <w:spacing w:after="0" w:line="240" w:lineRule="auto"/>
              <w:ind w:left="0"/>
              <w:jc w:val="center"/>
              <w:rPr>
                <w:sz w:val="20"/>
                <w:szCs w:val="20"/>
              </w:rPr>
            </w:pPr>
            <w:r>
              <w:rPr>
                <w:sz w:val="20"/>
                <w:szCs w:val="20"/>
              </w:rPr>
              <w:t>0,688</w:t>
            </w:r>
          </w:p>
        </w:tc>
        <w:tc>
          <w:tcPr>
            <w:tcW w:w="806" w:type="dxa"/>
          </w:tcPr>
          <w:p w14:paraId="52B5CC32">
            <w:pPr>
              <w:pStyle w:val="56"/>
              <w:spacing w:after="0" w:line="240" w:lineRule="auto"/>
              <w:ind w:left="0"/>
              <w:jc w:val="center"/>
              <w:rPr>
                <w:sz w:val="20"/>
                <w:szCs w:val="20"/>
              </w:rPr>
            </w:pPr>
            <w:r>
              <w:rPr>
                <w:sz w:val="20"/>
                <w:szCs w:val="20"/>
              </w:rPr>
              <w:t>0,00</w:t>
            </w:r>
          </w:p>
        </w:tc>
        <w:tc>
          <w:tcPr>
            <w:tcW w:w="1176" w:type="dxa"/>
          </w:tcPr>
          <w:p w14:paraId="236785FD">
            <w:pPr>
              <w:pStyle w:val="56"/>
              <w:spacing w:after="0" w:line="240" w:lineRule="auto"/>
              <w:ind w:left="0"/>
              <w:jc w:val="center"/>
              <w:rPr>
                <w:sz w:val="20"/>
                <w:szCs w:val="20"/>
              </w:rPr>
            </w:pPr>
            <w:r>
              <w:rPr>
                <w:sz w:val="20"/>
                <w:szCs w:val="20"/>
              </w:rPr>
              <w:t>Valid</w:t>
            </w:r>
          </w:p>
        </w:tc>
      </w:tr>
      <w:tr w14:paraId="22F8D45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0" w:hRule="atLeast"/>
          <w:jc w:val="center"/>
        </w:trPr>
        <w:tc>
          <w:tcPr>
            <w:tcW w:w="1110" w:type="dxa"/>
            <w:vMerge w:val="continue"/>
          </w:tcPr>
          <w:p w14:paraId="7675A46A">
            <w:pPr>
              <w:pStyle w:val="56"/>
              <w:spacing w:after="0" w:line="240" w:lineRule="auto"/>
              <w:ind w:left="0"/>
              <w:jc w:val="center"/>
              <w:rPr>
                <w:b/>
                <w:bCs/>
                <w:sz w:val="20"/>
                <w:szCs w:val="20"/>
              </w:rPr>
            </w:pPr>
          </w:p>
        </w:tc>
        <w:tc>
          <w:tcPr>
            <w:tcW w:w="962" w:type="dxa"/>
          </w:tcPr>
          <w:p w14:paraId="1A317849">
            <w:pPr>
              <w:pStyle w:val="56"/>
              <w:spacing w:after="0" w:line="240" w:lineRule="auto"/>
              <w:ind w:left="0"/>
              <w:rPr>
                <w:sz w:val="20"/>
                <w:szCs w:val="20"/>
              </w:rPr>
            </w:pPr>
            <w:r>
              <w:rPr>
                <w:sz w:val="20"/>
                <w:szCs w:val="20"/>
              </w:rPr>
              <w:t>X2.3</w:t>
            </w:r>
          </w:p>
        </w:tc>
        <w:tc>
          <w:tcPr>
            <w:tcW w:w="1258" w:type="dxa"/>
          </w:tcPr>
          <w:p w14:paraId="76E05312">
            <w:pPr>
              <w:pStyle w:val="56"/>
              <w:spacing w:after="0" w:line="240" w:lineRule="auto"/>
              <w:ind w:left="0"/>
              <w:jc w:val="center"/>
              <w:rPr>
                <w:sz w:val="20"/>
                <w:szCs w:val="20"/>
              </w:rPr>
            </w:pPr>
            <w:r>
              <w:rPr>
                <w:sz w:val="20"/>
                <w:szCs w:val="20"/>
              </w:rPr>
              <w:t>0,184</w:t>
            </w:r>
          </w:p>
        </w:tc>
        <w:tc>
          <w:tcPr>
            <w:tcW w:w="1137" w:type="dxa"/>
          </w:tcPr>
          <w:p w14:paraId="16DFCF7B">
            <w:pPr>
              <w:pStyle w:val="56"/>
              <w:spacing w:after="0" w:line="240" w:lineRule="auto"/>
              <w:ind w:left="0"/>
              <w:jc w:val="center"/>
              <w:rPr>
                <w:sz w:val="20"/>
                <w:szCs w:val="20"/>
              </w:rPr>
            </w:pPr>
            <w:r>
              <w:rPr>
                <w:sz w:val="20"/>
                <w:szCs w:val="20"/>
              </w:rPr>
              <w:t>0,593</w:t>
            </w:r>
          </w:p>
        </w:tc>
        <w:tc>
          <w:tcPr>
            <w:tcW w:w="806" w:type="dxa"/>
          </w:tcPr>
          <w:p w14:paraId="23275191">
            <w:pPr>
              <w:pStyle w:val="56"/>
              <w:spacing w:after="0" w:line="240" w:lineRule="auto"/>
              <w:ind w:left="0"/>
              <w:jc w:val="center"/>
              <w:rPr>
                <w:sz w:val="20"/>
                <w:szCs w:val="20"/>
              </w:rPr>
            </w:pPr>
            <w:r>
              <w:rPr>
                <w:sz w:val="20"/>
                <w:szCs w:val="20"/>
              </w:rPr>
              <w:t>0,00</w:t>
            </w:r>
          </w:p>
        </w:tc>
        <w:tc>
          <w:tcPr>
            <w:tcW w:w="1176" w:type="dxa"/>
          </w:tcPr>
          <w:p w14:paraId="3670DDC6">
            <w:pPr>
              <w:pStyle w:val="56"/>
              <w:spacing w:after="0" w:line="240" w:lineRule="auto"/>
              <w:ind w:left="0"/>
              <w:jc w:val="center"/>
              <w:rPr>
                <w:sz w:val="20"/>
                <w:szCs w:val="20"/>
              </w:rPr>
            </w:pPr>
            <w:r>
              <w:rPr>
                <w:sz w:val="20"/>
                <w:szCs w:val="20"/>
              </w:rPr>
              <w:t>Valid</w:t>
            </w:r>
          </w:p>
        </w:tc>
      </w:tr>
      <w:tr w14:paraId="2C3B039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0" w:hRule="atLeast"/>
          <w:jc w:val="center"/>
        </w:trPr>
        <w:tc>
          <w:tcPr>
            <w:tcW w:w="1110" w:type="dxa"/>
            <w:vMerge w:val="continue"/>
          </w:tcPr>
          <w:p w14:paraId="3EF5E3AB">
            <w:pPr>
              <w:pStyle w:val="56"/>
              <w:spacing w:after="0" w:line="240" w:lineRule="auto"/>
              <w:ind w:left="0"/>
              <w:jc w:val="center"/>
              <w:rPr>
                <w:b/>
                <w:bCs/>
                <w:sz w:val="20"/>
                <w:szCs w:val="20"/>
              </w:rPr>
            </w:pPr>
          </w:p>
        </w:tc>
        <w:tc>
          <w:tcPr>
            <w:tcW w:w="962" w:type="dxa"/>
          </w:tcPr>
          <w:p w14:paraId="7A2BF275">
            <w:pPr>
              <w:pStyle w:val="56"/>
              <w:spacing w:after="0" w:line="240" w:lineRule="auto"/>
              <w:ind w:left="0"/>
              <w:rPr>
                <w:sz w:val="20"/>
                <w:szCs w:val="20"/>
              </w:rPr>
            </w:pPr>
            <w:r>
              <w:rPr>
                <w:sz w:val="20"/>
                <w:szCs w:val="20"/>
              </w:rPr>
              <w:t>X2.4</w:t>
            </w:r>
          </w:p>
        </w:tc>
        <w:tc>
          <w:tcPr>
            <w:tcW w:w="1258" w:type="dxa"/>
          </w:tcPr>
          <w:p w14:paraId="03015C75">
            <w:pPr>
              <w:pStyle w:val="56"/>
              <w:spacing w:after="0" w:line="240" w:lineRule="auto"/>
              <w:ind w:left="0"/>
              <w:jc w:val="center"/>
              <w:rPr>
                <w:sz w:val="20"/>
                <w:szCs w:val="20"/>
              </w:rPr>
            </w:pPr>
            <w:r>
              <w:rPr>
                <w:sz w:val="20"/>
                <w:szCs w:val="20"/>
              </w:rPr>
              <w:t>0,184</w:t>
            </w:r>
          </w:p>
        </w:tc>
        <w:tc>
          <w:tcPr>
            <w:tcW w:w="1137" w:type="dxa"/>
          </w:tcPr>
          <w:p w14:paraId="6644A1FC">
            <w:pPr>
              <w:pStyle w:val="56"/>
              <w:spacing w:after="0" w:line="240" w:lineRule="auto"/>
              <w:ind w:left="0"/>
              <w:jc w:val="center"/>
              <w:rPr>
                <w:sz w:val="20"/>
                <w:szCs w:val="20"/>
              </w:rPr>
            </w:pPr>
            <w:r>
              <w:rPr>
                <w:sz w:val="20"/>
                <w:szCs w:val="20"/>
              </w:rPr>
              <w:t>0,695</w:t>
            </w:r>
          </w:p>
        </w:tc>
        <w:tc>
          <w:tcPr>
            <w:tcW w:w="806" w:type="dxa"/>
          </w:tcPr>
          <w:p w14:paraId="72072433">
            <w:pPr>
              <w:pStyle w:val="56"/>
              <w:spacing w:after="0" w:line="240" w:lineRule="auto"/>
              <w:ind w:left="0"/>
              <w:jc w:val="center"/>
              <w:rPr>
                <w:sz w:val="20"/>
                <w:szCs w:val="20"/>
              </w:rPr>
            </w:pPr>
            <w:r>
              <w:rPr>
                <w:sz w:val="20"/>
                <w:szCs w:val="20"/>
              </w:rPr>
              <w:t>0,00</w:t>
            </w:r>
          </w:p>
        </w:tc>
        <w:tc>
          <w:tcPr>
            <w:tcW w:w="1176" w:type="dxa"/>
          </w:tcPr>
          <w:p w14:paraId="1704BFB3">
            <w:pPr>
              <w:pStyle w:val="56"/>
              <w:spacing w:after="0" w:line="240" w:lineRule="auto"/>
              <w:ind w:left="0"/>
              <w:jc w:val="center"/>
              <w:rPr>
                <w:sz w:val="20"/>
                <w:szCs w:val="20"/>
              </w:rPr>
            </w:pPr>
            <w:r>
              <w:rPr>
                <w:sz w:val="20"/>
                <w:szCs w:val="20"/>
              </w:rPr>
              <w:t>Valid</w:t>
            </w:r>
          </w:p>
        </w:tc>
      </w:tr>
      <w:tr w14:paraId="2246EC7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0" w:hRule="atLeast"/>
          <w:jc w:val="center"/>
        </w:trPr>
        <w:tc>
          <w:tcPr>
            <w:tcW w:w="1110" w:type="dxa"/>
            <w:vMerge w:val="continue"/>
          </w:tcPr>
          <w:p w14:paraId="6F051E87">
            <w:pPr>
              <w:pStyle w:val="56"/>
              <w:spacing w:after="0" w:line="240" w:lineRule="auto"/>
              <w:ind w:left="0"/>
              <w:jc w:val="center"/>
              <w:rPr>
                <w:b/>
                <w:bCs/>
                <w:sz w:val="20"/>
                <w:szCs w:val="20"/>
              </w:rPr>
            </w:pPr>
          </w:p>
        </w:tc>
        <w:tc>
          <w:tcPr>
            <w:tcW w:w="962" w:type="dxa"/>
          </w:tcPr>
          <w:p w14:paraId="3271121C">
            <w:pPr>
              <w:pStyle w:val="56"/>
              <w:spacing w:after="0" w:line="240" w:lineRule="auto"/>
              <w:ind w:left="0"/>
              <w:rPr>
                <w:sz w:val="20"/>
                <w:szCs w:val="20"/>
              </w:rPr>
            </w:pPr>
            <w:r>
              <w:rPr>
                <w:sz w:val="20"/>
                <w:szCs w:val="20"/>
              </w:rPr>
              <w:t>X2.5</w:t>
            </w:r>
          </w:p>
        </w:tc>
        <w:tc>
          <w:tcPr>
            <w:tcW w:w="1258" w:type="dxa"/>
          </w:tcPr>
          <w:p w14:paraId="36D099C2">
            <w:pPr>
              <w:pStyle w:val="56"/>
              <w:spacing w:after="0" w:line="240" w:lineRule="auto"/>
              <w:ind w:left="0"/>
              <w:jc w:val="center"/>
              <w:rPr>
                <w:sz w:val="20"/>
                <w:szCs w:val="20"/>
              </w:rPr>
            </w:pPr>
            <w:r>
              <w:rPr>
                <w:sz w:val="20"/>
                <w:szCs w:val="20"/>
              </w:rPr>
              <w:t>0,184</w:t>
            </w:r>
          </w:p>
        </w:tc>
        <w:tc>
          <w:tcPr>
            <w:tcW w:w="1137" w:type="dxa"/>
          </w:tcPr>
          <w:p w14:paraId="7BA77C4B">
            <w:pPr>
              <w:pStyle w:val="56"/>
              <w:spacing w:after="0" w:line="240" w:lineRule="auto"/>
              <w:ind w:left="0"/>
              <w:jc w:val="center"/>
              <w:rPr>
                <w:sz w:val="20"/>
                <w:szCs w:val="20"/>
              </w:rPr>
            </w:pPr>
            <w:r>
              <w:rPr>
                <w:sz w:val="20"/>
                <w:szCs w:val="20"/>
              </w:rPr>
              <w:t>0,682</w:t>
            </w:r>
          </w:p>
        </w:tc>
        <w:tc>
          <w:tcPr>
            <w:tcW w:w="806" w:type="dxa"/>
          </w:tcPr>
          <w:p w14:paraId="63583AC3">
            <w:pPr>
              <w:pStyle w:val="56"/>
              <w:spacing w:after="0" w:line="240" w:lineRule="auto"/>
              <w:ind w:left="0"/>
              <w:jc w:val="center"/>
              <w:rPr>
                <w:sz w:val="20"/>
                <w:szCs w:val="20"/>
              </w:rPr>
            </w:pPr>
            <w:r>
              <w:rPr>
                <w:sz w:val="20"/>
                <w:szCs w:val="20"/>
              </w:rPr>
              <w:t>0,00</w:t>
            </w:r>
          </w:p>
        </w:tc>
        <w:tc>
          <w:tcPr>
            <w:tcW w:w="1176" w:type="dxa"/>
          </w:tcPr>
          <w:p w14:paraId="4AD32BDF">
            <w:pPr>
              <w:pStyle w:val="56"/>
              <w:spacing w:after="0" w:line="240" w:lineRule="auto"/>
              <w:ind w:left="0"/>
              <w:jc w:val="center"/>
              <w:rPr>
                <w:sz w:val="20"/>
                <w:szCs w:val="20"/>
              </w:rPr>
            </w:pPr>
            <w:r>
              <w:rPr>
                <w:sz w:val="20"/>
                <w:szCs w:val="20"/>
              </w:rPr>
              <w:t>Valid</w:t>
            </w:r>
          </w:p>
        </w:tc>
      </w:tr>
      <w:tr w14:paraId="191EB25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0" w:hRule="atLeast"/>
          <w:jc w:val="center"/>
        </w:trPr>
        <w:tc>
          <w:tcPr>
            <w:tcW w:w="1110" w:type="dxa"/>
            <w:vMerge w:val="restart"/>
          </w:tcPr>
          <w:p w14:paraId="15EA84FF">
            <w:pPr>
              <w:pStyle w:val="56"/>
              <w:spacing w:after="0" w:line="240" w:lineRule="auto"/>
              <w:ind w:left="0"/>
              <w:jc w:val="center"/>
              <w:rPr>
                <w:b/>
                <w:bCs/>
                <w:sz w:val="20"/>
                <w:szCs w:val="20"/>
              </w:rPr>
            </w:pPr>
            <w:r>
              <w:rPr>
                <w:b/>
                <w:bCs/>
                <w:sz w:val="20"/>
                <w:szCs w:val="20"/>
              </w:rPr>
              <w:t>X3</w:t>
            </w:r>
          </w:p>
        </w:tc>
        <w:tc>
          <w:tcPr>
            <w:tcW w:w="962" w:type="dxa"/>
          </w:tcPr>
          <w:p w14:paraId="60FCF676">
            <w:pPr>
              <w:pStyle w:val="56"/>
              <w:spacing w:after="0" w:line="240" w:lineRule="auto"/>
              <w:ind w:left="0"/>
              <w:rPr>
                <w:sz w:val="20"/>
                <w:szCs w:val="20"/>
              </w:rPr>
            </w:pPr>
            <w:r>
              <w:rPr>
                <w:sz w:val="20"/>
                <w:szCs w:val="20"/>
              </w:rPr>
              <w:t>X3.1</w:t>
            </w:r>
          </w:p>
        </w:tc>
        <w:tc>
          <w:tcPr>
            <w:tcW w:w="1258" w:type="dxa"/>
          </w:tcPr>
          <w:p w14:paraId="6388062D">
            <w:pPr>
              <w:pStyle w:val="56"/>
              <w:spacing w:after="0" w:line="240" w:lineRule="auto"/>
              <w:ind w:left="0"/>
              <w:jc w:val="center"/>
              <w:rPr>
                <w:sz w:val="20"/>
                <w:szCs w:val="20"/>
              </w:rPr>
            </w:pPr>
            <w:r>
              <w:rPr>
                <w:sz w:val="20"/>
                <w:szCs w:val="20"/>
              </w:rPr>
              <w:t>0,184</w:t>
            </w:r>
          </w:p>
        </w:tc>
        <w:tc>
          <w:tcPr>
            <w:tcW w:w="1137" w:type="dxa"/>
          </w:tcPr>
          <w:p w14:paraId="7461C91B">
            <w:pPr>
              <w:pStyle w:val="56"/>
              <w:spacing w:after="0" w:line="240" w:lineRule="auto"/>
              <w:ind w:left="0"/>
              <w:jc w:val="center"/>
              <w:rPr>
                <w:sz w:val="20"/>
                <w:szCs w:val="20"/>
              </w:rPr>
            </w:pPr>
            <w:r>
              <w:rPr>
                <w:sz w:val="20"/>
                <w:szCs w:val="20"/>
              </w:rPr>
              <w:t>0,710</w:t>
            </w:r>
          </w:p>
        </w:tc>
        <w:tc>
          <w:tcPr>
            <w:tcW w:w="806" w:type="dxa"/>
          </w:tcPr>
          <w:p w14:paraId="666D0C10">
            <w:pPr>
              <w:pStyle w:val="56"/>
              <w:spacing w:after="0" w:line="240" w:lineRule="auto"/>
              <w:ind w:left="0"/>
              <w:jc w:val="center"/>
              <w:rPr>
                <w:sz w:val="20"/>
                <w:szCs w:val="20"/>
              </w:rPr>
            </w:pPr>
            <w:r>
              <w:rPr>
                <w:sz w:val="20"/>
                <w:szCs w:val="20"/>
              </w:rPr>
              <w:t>0,00</w:t>
            </w:r>
          </w:p>
        </w:tc>
        <w:tc>
          <w:tcPr>
            <w:tcW w:w="1176" w:type="dxa"/>
          </w:tcPr>
          <w:p w14:paraId="0074BA60">
            <w:pPr>
              <w:pStyle w:val="56"/>
              <w:spacing w:after="0" w:line="240" w:lineRule="auto"/>
              <w:ind w:left="0"/>
              <w:jc w:val="center"/>
              <w:rPr>
                <w:sz w:val="20"/>
                <w:szCs w:val="20"/>
              </w:rPr>
            </w:pPr>
            <w:r>
              <w:rPr>
                <w:sz w:val="20"/>
                <w:szCs w:val="20"/>
              </w:rPr>
              <w:t>Valid</w:t>
            </w:r>
          </w:p>
        </w:tc>
      </w:tr>
      <w:tr w14:paraId="49D3B5E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14" w:hRule="atLeast"/>
          <w:jc w:val="center"/>
        </w:trPr>
        <w:tc>
          <w:tcPr>
            <w:tcW w:w="1110" w:type="dxa"/>
            <w:vMerge w:val="continue"/>
          </w:tcPr>
          <w:p w14:paraId="49ABA52B">
            <w:pPr>
              <w:pStyle w:val="56"/>
              <w:spacing w:after="0" w:line="240" w:lineRule="auto"/>
              <w:ind w:left="0"/>
              <w:jc w:val="center"/>
              <w:rPr>
                <w:b/>
                <w:bCs/>
                <w:sz w:val="20"/>
                <w:szCs w:val="20"/>
              </w:rPr>
            </w:pPr>
          </w:p>
        </w:tc>
        <w:tc>
          <w:tcPr>
            <w:tcW w:w="962" w:type="dxa"/>
          </w:tcPr>
          <w:p w14:paraId="58EC3C7F">
            <w:pPr>
              <w:pStyle w:val="56"/>
              <w:spacing w:after="0" w:line="240" w:lineRule="auto"/>
              <w:ind w:left="0"/>
              <w:rPr>
                <w:sz w:val="20"/>
                <w:szCs w:val="20"/>
              </w:rPr>
            </w:pPr>
            <w:r>
              <w:rPr>
                <w:sz w:val="20"/>
                <w:szCs w:val="20"/>
              </w:rPr>
              <w:t>X3.2</w:t>
            </w:r>
          </w:p>
        </w:tc>
        <w:tc>
          <w:tcPr>
            <w:tcW w:w="1258" w:type="dxa"/>
          </w:tcPr>
          <w:p w14:paraId="79D9BC6F">
            <w:pPr>
              <w:pStyle w:val="56"/>
              <w:spacing w:after="0" w:line="240" w:lineRule="auto"/>
              <w:ind w:left="0"/>
              <w:jc w:val="center"/>
              <w:rPr>
                <w:sz w:val="20"/>
                <w:szCs w:val="20"/>
              </w:rPr>
            </w:pPr>
            <w:r>
              <w:rPr>
                <w:sz w:val="20"/>
                <w:szCs w:val="20"/>
              </w:rPr>
              <w:t>0,184</w:t>
            </w:r>
          </w:p>
        </w:tc>
        <w:tc>
          <w:tcPr>
            <w:tcW w:w="1137" w:type="dxa"/>
          </w:tcPr>
          <w:p w14:paraId="311EE889">
            <w:pPr>
              <w:pStyle w:val="56"/>
              <w:spacing w:after="0" w:line="240" w:lineRule="auto"/>
              <w:ind w:left="0"/>
              <w:jc w:val="center"/>
              <w:rPr>
                <w:sz w:val="20"/>
                <w:szCs w:val="20"/>
              </w:rPr>
            </w:pPr>
            <w:r>
              <w:rPr>
                <w:sz w:val="20"/>
                <w:szCs w:val="20"/>
              </w:rPr>
              <w:t>0,596</w:t>
            </w:r>
          </w:p>
        </w:tc>
        <w:tc>
          <w:tcPr>
            <w:tcW w:w="806" w:type="dxa"/>
          </w:tcPr>
          <w:p w14:paraId="09CB8D24">
            <w:pPr>
              <w:pStyle w:val="56"/>
              <w:spacing w:after="0" w:line="240" w:lineRule="auto"/>
              <w:ind w:left="0"/>
              <w:jc w:val="center"/>
              <w:rPr>
                <w:sz w:val="20"/>
                <w:szCs w:val="20"/>
              </w:rPr>
            </w:pPr>
            <w:r>
              <w:rPr>
                <w:sz w:val="20"/>
                <w:szCs w:val="20"/>
              </w:rPr>
              <w:t>0,00</w:t>
            </w:r>
          </w:p>
        </w:tc>
        <w:tc>
          <w:tcPr>
            <w:tcW w:w="1176" w:type="dxa"/>
          </w:tcPr>
          <w:p w14:paraId="60F2487C">
            <w:pPr>
              <w:pStyle w:val="56"/>
              <w:spacing w:after="0" w:line="240" w:lineRule="auto"/>
              <w:ind w:left="0"/>
              <w:jc w:val="center"/>
              <w:rPr>
                <w:sz w:val="20"/>
                <w:szCs w:val="20"/>
              </w:rPr>
            </w:pPr>
            <w:r>
              <w:rPr>
                <w:sz w:val="20"/>
                <w:szCs w:val="20"/>
              </w:rPr>
              <w:t>Valid</w:t>
            </w:r>
          </w:p>
        </w:tc>
      </w:tr>
      <w:tr w14:paraId="51FBAB1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14" w:hRule="atLeast"/>
          <w:jc w:val="center"/>
        </w:trPr>
        <w:tc>
          <w:tcPr>
            <w:tcW w:w="1110" w:type="dxa"/>
            <w:vMerge w:val="continue"/>
          </w:tcPr>
          <w:p w14:paraId="59F65E98">
            <w:pPr>
              <w:pStyle w:val="56"/>
              <w:spacing w:after="0" w:line="240" w:lineRule="auto"/>
              <w:ind w:left="0"/>
              <w:jc w:val="center"/>
              <w:rPr>
                <w:b/>
                <w:bCs/>
                <w:sz w:val="20"/>
                <w:szCs w:val="20"/>
              </w:rPr>
            </w:pPr>
          </w:p>
        </w:tc>
        <w:tc>
          <w:tcPr>
            <w:tcW w:w="962" w:type="dxa"/>
          </w:tcPr>
          <w:p w14:paraId="5B97DAD6">
            <w:pPr>
              <w:pStyle w:val="56"/>
              <w:spacing w:after="0" w:line="240" w:lineRule="auto"/>
              <w:ind w:left="0"/>
              <w:rPr>
                <w:sz w:val="20"/>
                <w:szCs w:val="20"/>
              </w:rPr>
            </w:pPr>
            <w:r>
              <w:rPr>
                <w:sz w:val="20"/>
                <w:szCs w:val="20"/>
              </w:rPr>
              <w:t>X3.3</w:t>
            </w:r>
          </w:p>
        </w:tc>
        <w:tc>
          <w:tcPr>
            <w:tcW w:w="1258" w:type="dxa"/>
          </w:tcPr>
          <w:p w14:paraId="6BB339FA">
            <w:pPr>
              <w:pStyle w:val="56"/>
              <w:spacing w:after="0" w:line="240" w:lineRule="auto"/>
              <w:ind w:left="0"/>
              <w:jc w:val="center"/>
              <w:rPr>
                <w:sz w:val="20"/>
                <w:szCs w:val="20"/>
              </w:rPr>
            </w:pPr>
            <w:r>
              <w:rPr>
                <w:sz w:val="20"/>
                <w:szCs w:val="20"/>
              </w:rPr>
              <w:t>0,184</w:t>
            </w:r>
          </w:p>
        </w:tc>
        <w:tc>
          <w:tcPr>
            <w:tcW w:w="1137" w:type="dxa"/>
          </w:tcPr>
          <w:p w14:paraId="55C41DC9">
            <w:pPr>
              <w:pStyle w:val="56"/>
              <w:spacing w:after="0" w:line="240" w:lineRule="auto"/>
              <w:ind w:left="0"/>
              <w:jc w:val="center"/>
              <w:rPr>
                <w:sz w:val="20"/>
                <w:szCs w:val="20"/>
              </w:rPr>
            </w:pPr>
            <w:r>
              <w:rPr>
                <w:sz w:val="20"/>
                <w:szCs w:val="20"/>
              </w:rPr>
              <w:t>0,689</w:t>
            </w:r>
          </w:p>
        </w:tc>
        <w:tc>
          <w:tcPr>
            <w:tcW w:w="806" w:type="dxa"/>
          </w:tcPr>
          <w:p w14:paraId="5FB78C7F">
            <w:pPr>
              <w:pStyle w:val="56"/>
              <w:spacing w:after="0" w:line="240" w:lineRule="auto"/>
              <w:ind w:left="0"/>
              <w:jc w:val="center"/>
              <w:rPr>
                <w:sz w:val="20"/>
                <w:szCs w:val="20"/>
              </w:rPr>
            </w:pPr>
            <w:r>
              <w:rPr>
                <w:sz w:val="20"/>
                <w:szCs w:val="20"/>
              </w:rPr>
              <w:t>0,00</w:t>
            </w:r>
          </w:p>
        </w:tc>
        <w:tc>
          <w:tcPr>
            <w:tcW w:w="1176" w:type="dxa"/>
          </w:tcPr>
          <w:p w14:paraId="1F95D43B">
            <w:pPr>
              <w:pStyle w:val="56"/>
              <w:spacing w:after="0" w:line="240" w:lineRule="auto"/>
              <w:ind w:left="0"/>
              <w:jc w:val="center"/>
              <w:rPr>
                <w:sz w:val="20"/>
                <w:szCs w:val="20"/>
              </w:rPr>
            </w:pPr>
            <w:r>
              <w:rPr>
                <w:sz w:val="20"/>
                <w:szCs w:val="20"/>
              </w:rPr>
              <w:t>Valid</w:t>
            </w:r>
          </w:p>
        </w:tc>
      </w:tr>
      <w:tr w14:paraId="3932C89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14" w:hRule="atLeast"/>
          <w:jc w:val="center"/>
        </w:trPr>
        <w:tc>
          <w:tcPr>
            <w:tcW w:w="1110" w:type="dxa"/>
            <w:vMerge w:val="continue"/>
          </w:tcPr>
          <w:p w14:paraId="3EDF21B1">
            <w:pPr>
              <w:pStyle w:val="56"/>
              <w:spacing w:after="0" w:line="240" w:lineRule="auto"/>
              <w:ind w:left="0"/>
              <w:jc w:val="center"/>
              <w:rPr>
                <w:b/>
                <w:bCs/>
                <w:sz w:val="20"/>
                <w:szCs w:val="20"/>
              </w:rPr>
            </w:pPr>
          </w:p>
        </w:tc>
        <w:tc>
          <w:tcPr>
            <w:tcW w:w="962" w:type="dxa"/>
          </w:tcPr>
          <w:p w14:paraId="111C4DB5">
            <w:pPr>
              <w:pStyle w:val="56"/>
              <w:spacing w:after="0" w:line="240" w:lineRule="auto"/>
              <w:ind w:left="0"/>
              <w:rPr>
                <w:sz w:val="20"/>
                <w:szCs w:val="20"/>
              </w:rPr>
            </w:pPr>
            <w:r>
              <w:rPr>
                <w:sz w:val="20"/>
                <w:szCs w:val="20"/>
              </w:rPr>
              <w:t>X3.4</w:t>
            </w:r>
          </w:p>
        </w:tc>
        <w:tc>
          <w:tcPr>
            <w:tcW w:w="1258" w:type="dxa"/>
          </w:tcPr>
          <w:p w14:paraId="05DDDA65">
            <w:pPr>
              <w:pStyle w:val="56"/>
              <w:spacing w:after="0" w:line="240" w:lineRule="auto"/>
              <w:ind w:left="0"/>
              <w:jc w:val="center"/>
              <w:rPr>
                <w:sz w:val="20"/>
                <w:szCs w:val="20"/>
              </w:rPr>
            </w:pPr>
            <w:r>
              <w:rPr>
                <w:sz w:val="20"/>
                <w:szCs w:val="20"/>
              </w:rPr>
              <w:t>0,184</w:t>
            </w:r>
          </w:p>
        </w:tc>
        <w:tc>
          <w:tcPr>
            <w:tcW w:w="1137" w:type="dxa"/>
          </w:tcPr>
          <w:p w14:paraId="2B100CAA">
            <w:pPr>
              <w:pStyle w:val="56"/>
              <w:spacing w:after="0" w:line="240" w:lineRule="auto"/>
              <w:ind w:left="0"/>
              <w:jc w:val="center"/>
              <w:rPr>
                <w:sz w:val="20"/>
                <w:szCs w:val="20"/>
              </w:rPr>
            </w:pPr>
            <w:r>
              <w:rPr>
                <w:sz w:val="20"/>
                <w:szCs w:val="20"/>
              </w:rPr>
              <w:t>0,718</w:t>
            </w:r>
          </w:p>
        </w:tc>
        <w:tc>
          <w:tcPr>
            <w:tcW w:w="806" w:type="dxa"/>
          </w:tcPr>
          <w:p w14:paraId="21C2A389">
            <w:pPr>
              <w:pStyle w:val="56"/>
              <w:spacing w:after="0" w:line="240" w:lineRule="auto"/>
              <w:ind w:left="0"/>
              <w:jc w:val="center"/>
              <w:rPr>
                <w:sz w:val="20"/>
                <w:szCs w:val="20"/>
              </w:rPr>
            </w:pPr>
            <w:r>
              <w:rPr>
                <w:sz w:val="20"/>
                <w:szCs w:val="20"/>
              </w:rPr>
              <w:t>0,00</w:t>
            </w:r>
          </w:p>
        </w:tc>
        <w:tc>
          <w:tcPr>
            <w:tcW w:w="1176" w:type="dxa"/>
          </w:tcPr>
          <w:p w14:paraId="43088713">
            <w:pPr>
              <w:pStyle w:val="56"/>
              <w:spacing w:after="0" w:line="240" w:lineRule="auto"/>
              <w:ind w:left="0"/>
              <w:jc w:val="center"/>
              <w:rPr>
                <w:sz w:val="20"/>
                <w:szCs w:val="20"/>
              </w:rPr>
            </w:pPr>
            <w:r>
              <w:rPr>
                <w:sz w:val="20"/>
                <w:szCs w:val="20"/>
              </w:rPr>
              <w:t>Valid</w:t>
            </w:r>
          </w:p>
        </w:tc>
      </w:tr>
      <w:tr w14:paraId="151650C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0" w:hRule="atLeast"/>
          <w:jc w:val="center"/>
        </w:trPr>
        <w:tc>
          <w:tcPr>
            <w:tcW w:w="1110" w:type="dxa"/>
            <w:vMerge w:val="restart"/>
          </w:tcPr>
          <w:p w14:paraId="6C46C0F1">
            <w:pPr>
              <w:pStyle w:val="56"/>
              <w:spacing w:after="0" w:line="240" w:lineRule="auto"/>
              <w:ind w:left="0"/>
              <w:jc w:val="center"/>
              <w:rPr>
                <w:b/>
                <w:bCs/>
                <w:sz w:val="20"/>
                <w:szCs w:val="20"/>
              </w:rPr>
            </w:pPr>
            <w:r>
              <w:rPr>
                <w:b/>
                <w:bCs/>
                <w:sz w:val="20"/>
                <w:szCs w:val="20"/>
              </w:rPr>
              <w:t>Y</w:t>
            </w:r>
          </w:p>
        </w:tc>
        <w:tc>
          <w:tcPr>
            <w:tcW w:w="962" w:type="dxa"/>
          </w:tcPr>
          <w:p w14:paraId="7164C732">
            <w:pPr>
              <w:pStyle w:val="56"/>
              <w:spacing w:after="0" w:line="240" w:lineRule="auto"/>
              <w:ind w:left="0"/>
              <w:rPr>
                <w:sz w:val="20"/>
                <w:szCs w:val="20"/>
              </w:rPr>
            </w:pPr>
            <w:r>
              <w:rPr>
                <w:sz w:val="20"/>
                <w:szCs w:val="20"/>
              </w:rPr>
              <w:t>Y1</w:t>
            </w:r>
          </w:p>
        </w:tc>
        <w:tc>
          <w:tcPr>
            <w:tcW w:w="1258" w:type="dxa"/>
          </w:tcPr>
          <w:p w14:paraId="423ACDDD">
            <w:pPr>
              <w:pStyle w:val="56"/>
              <w:spacing w:after="0" w:line="240" w:lineRule="auto"/>
              <w:ind w:left="0"/>
              <w:jc w:val="center"/>
              <w:rPr>
                <w:sz w:val="20"/>
                <w:szCs w:val="20"/>
              </w:rPr>
            </w:pPr>
            <w:r>
              <w:rPr>
                <w:sz w:val="20"/>
                <w:szCs w:val="20"/>
              </w:rPr>
              <w:t>0,184</w:t>
            </w:r>
          </w:p>
        </w:tc>
        <w:tc>
          <w:tcPr>
            <w:tcW w:w="1137" w:type="dxa"/>
          </w:tcPr>
          <w:p w14:paraId="64F86522">
            <w:pPr>
              <w:pStyle w:val="56"/>
              <w:spacing w:after="0" w:line="240" w:lineRule="auto"/>
              <w:ind w:left="0"/>
              <w:jc w:val="center"/>
              <w:rPr>
                <w:sz w:val="20"/>
                <w:szCs w:val="20"/>
              </w:rPr>
            </w:pPr>
            <w:r>
              <w:rPr>
                <w:sz w:val="20"/>
                <w:szCs w:val="20"/>
              </w:rPr>
              <w:t>0,693</w:t>
            </w:r>
          </w:p>
        </w:tc>
        <w:tc>
          <w:tcPr>
            <w:tcW w:w="806" w:type="dxa"/>
          </w:tcPr>
          <w:p w14:paraId="284CBEFE">
            <w:pPr>
              <w:pStyle w:val="56"/>
              <w:spacing w:after="0" w:line="240" w:lineRule="auto"/>
              <w:ind w:left="0"/>
              <w:jc w:val="center"/>
              <w:rPr>
                <w:sz w:val="20"/>
                <w:szCs w:val="20"/>
              </w:rPr>
            </w:pPr>
            <w:r>
              <w:rPr>
                <w:sz w:val="20"/>
                <w:szCs w:val="20"/>
              </w:rPr>
              <w:t>0,00</w:t>
            </w:r>
          </w:p>
        </w:tc>
        <w:tc>
          <w:tcPr>
            <w:tcW w:w="1176" w:type="dxa"/>
          </w:tcPr>
          <w:p w14:paraId="2347D07F">
            <w:pPr>
              <w:pStyle w:val="56"/>
              <w:spacing w:after="0" w:line="240" w:lineRule="auto"/>
              <w:ind w:left="0"/>
              <w:jc w:val="center"/>
              <w:rPr>
                <w:sz w:val="20"/>
                <w:szCs w:val="20"/>
              </w:rPr>
            </w:pPr>
            <w:r>
              <w:rPr>
                <w:sz w:val="20"/>
                <w:szCs w:val="20"/>
              </w:rPr>
              <w:t>Valid</w:t>
            </w:r>
          </w:p>
        </w:tc>
      </w:tr>
      <w:tr w14:paraId="24D36FF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0" w:hRule="atLeast"/>
          <w:jc w:val="center"/>
        </w:trPr>
        <w:tc>
          <w:tcPr>
            <w:tcW w:w="1110" w:type="dxa"/>
            <w:vMerge w:val="continue"/>
          </w:tcPr>
          <w:p w14:paraId="1425EEC9">
            <w:pPr>
              <w:pStyle w:val="56"/>
              <w:spacing w:after="0" w:line="240" w:lineRule="auto"/>
              <w:ind w:left="0"/>
              <w:rPr>
                <w:b/>
                <w:bCs/>
                <w:sz w:val="20"/>
                <w:szCs w:val="20"/>
              </w:rPr>
            </w:pPr>
          </w:p>
        </w:tc>
        <w:tc>
          <w:tcPr>
            <w:tcW w:w="962" w:type="dxa"/>
          </w:tcPr>
          <w:p w14:paraId="0E465E9A">
            <w:pPr>
              <w:pStyle w:val="56"/>
              <w:spacing w:after="0" w:line="240" w:lineRule="auto"/>
              <w:ind w:left="0"/>
              <w:rPr>
                <w:sz w:val="20"/>
                <w:szCs w:val="20"/>
              </w:rPr>
            </w:pPr>
            <w:r>
              <w:rPr>
                <w:sz w:val="20"/>
                <w:szCs w:val="20"/>
              </w:rPr>
              <w:t>Y2</w:t>
            </w:r>
          </w:p>
        </w:tc>
        <w:tc>
          <w:tcPr>
            <w:tcW w:w="1258" w:type="dxa"/>
          </w:tcPr>
          <w:p w14:paraId="3CA7FBA8">
            <w:pPr>
              <w:pStyle w:val="56"/>
              <w:spacing w:after="0" w:line="240" w:lineRule="auto"/>
              <w:ind w:left="0"/>
              <w:jc w:val="center"/>
              <w:rPr>
                <w:sz w:val="20"/>
                <w:szCs w:val="20"/>
              </w:rPr>
            </w:pPr>
            <w:r>
              <w:rPr>
                <w:sz w:val="20"/>
                <w:szCs w:val="20"/>
              </w:rPr>
              <w:t>0,184</w:t>
            </w:r>
          </w:p>
        </w:tc>
        <w:tc>
          <w:tcPr>
            <w:tcW w:w="1137" w:type="dxa"/>
          </w:tcPr>
          <w:p w14:paraId="136E4156">
            <w:pPr>
              <w:pStyle w:val="56"/>
              <w:spacing w:after="0" w:line="240" w:lineRule="auto"/>
              <w:ind w:left="0"/>
              <w:jc w:val="center"/>
              <w:rPr>
                <w:sz w:val="20"/>
                <w:szCs w:val="20"/>
              </w:rPr>
            </w:pPr>
            <w:r>
              <w:rPr>
                <w:sz w:val="20"/>
                <w:szCs w:val="20"/>
              </w:rPr>
              <w:t>0,668</w:t>
            </w:r>
          </w:p>
        </w:tc>
        <w:tc>
          <w:tcPr>
            <w:tcW w:w="806" w:type="dxa"/>
          </w:tcPr>
          <w:p w14:paraId="07CD49E7">
            <w:pPr>
              <w:pStyle w:val="56"/>
              <w:spacing w:after="0" w:line="240" w:lineRule="auto"/>
              <w:ind w:left="0"/>
              <w:jc w:val="center"/>
              <w:rPr>
                <w:sz w:val="20"/>
                <w:szCs w:val="20"/>
              </w:rPr>
            </w:pPr>
            <w:r>
              <w:rPr>
                <w:sz w:val="20"/>
                <w:szCs w:val="20"/>
              </w:rPr>
              <w:t>0,00</w:t>
            </w:r>
          </w:p>
        </w:tc>
        <w:tc>
          <w:tcPr>
            <w:tcW w:w="1176" w:type="dxa"/>
          </w:tcPr>
          <w:p w14:paraId="6998C53C">
            <w:pPr>
              <w:pStyle w:val="56"/>
              <w:spacing w:after="0" w:line="240" w:lineRule="auto"/>
              <w:ind w:left="0"/>
              <w:jc w:val="center"/>
              <w:rPr>
                <w:sz w:val="20"/>
                <w:szCs w:val="20"/>
              </w:rPr>
            </w:pPr>
            <w:r>
              <w:rPr>
                <w:sz w:val="20"/>
                <w:szCs w:val="20"/>
              </w:rPr>
              <w:t>Valid</w:t>
            </w:r>
          </w:p>
        </w:tc>
      </w:tr>
      <w:tr w14:paraId="4512425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14" w:hRule="atLeast"/>
          <w:jc w:val="center"/>
        </w:trPr>
        <w:tc>
          <w:tcPr>
            <w:tcW w:w="1110" w:type="dxa"/>
            <w:vMerge w:val="continue"/>
          </w:tcPr>
          <w:p w14:paraId="5E7BBA36">
            <w:pPr>
              <w:pStyle w:val="56"/>
              <w:spacing w:after="0" w:line="240" w:lineRule="auto"/>
              <w:ind w:left="0"/>
              <w:rPr>
                <w:b/>
                <w:bCs/>
                <w:sz w:val="20"/>
                <w:szCs w:val="20"/>
              </w:rPr>
            </w:pPr>
          </w:p>
        </w:tc>
        <w:tc>
          <w:tcPr>
            <w:tcW w:w="962" w:type="dxa"/>
          </w:tcPr>
          <w:p w14:paraId="4BA39524">
            <w:pPr>
              <w:pStyle w:val="56"/>
              <w:spacing w:after="0" w:line="240" w:lineRule="auto"/>
              <w:ind w:left="0"/>
              <w:rPr>
                <w:sz w:val="20"/>
                <w:szCs w:val="20"/>
              </w:rPr>
            </w:pPr>
            <w:r>
              <w:rPr>
                <w:sz w:val="20"/>
                <w:szCs w:val="20"/>
              </w:rPr>
              <w:t>Y3</w:t>
            </w:r>
          </w:p>
        </w:tc>
        <w:tc>
          <w:tcPr>
            <w:tcW w:w="1258" w:type="dxa"/>
          </w:tcPr>
          <w:p w14:paraId="5D9D52A7">
            <w:pPr>
              <w:pStyle w:val="56"/>
              <w:spacing w:after="0" w:line="240" w:lineRule="auto"/>
              <w:ind w:left="0"/>
              <w:jc w:val="center"/>
              <w:rPr>
                <w:sz w:val="20"/>
                <w:szCs w:val="20"/>
              </w:rPr>
            </w:pPr>
            <w:r>
              <w:rPr>
                <w:sz w:val="20"/>
                <w:szCs w:val="20"/>
              </w:rPr>
              <w:t>0,184</w:t>
            </w:r>
          </w:p>
        </w:tc>
        <w:tc>
          <w:tcPr>
            <w:tcW w:w="1137" w:type="dxa"/>
          </w:tcPr>
          <w:p w14:paraId="7778C2EE">
            <w:pPr>
              <w:pStyle w:val="56"/>
              <w:spacing w:after="0" w:line="240" w:lineRule="auto"/>
              <w:ind w:left="0"/>
              <w:jc w:val="center"/>
              <w:rPr>
                <w:sz w:val="20"/>
                <w:szCs w:val="20"/>
              </w:rPr>
            </w:pPr>
            <w:r>
              <w:rPr>
                <w:sz w:val="20"/>
                <w:szCs w:val="20"/>
              </w:rPr>
              <w:t>0,714</w:t>
            </w:r>
          </w:p>
        </w:tc>
        <w:tc>
          <w:tcPr>
            <w:tcW w:w="806" w:type="dxa"/>
          </w:tcPr>
          <w:p w14:paraId="6EDB24BC">
            <w:pPr>
              <w:pStyle w:val="56"/>
              <w:spacing w:after="0" w:line="240" w:lineRule="auto"/>
              <w:ind w:left="0"/>
              <w:jc w:val="center"/>
              <w:rPr>
                <w:sz w:val="20"/>
                <w:szCs w:val="20"/>
              </w:rPr>
            </w:pPr>
            <w:r>
              <w:rPr>
                <w:sz w:val="20"/>
                <w:szCs w:val="20"/>
              </w:rPr>
              <w:t>0,00</w:t>
            </w:r>
          </w:p>
        </w:tc>
        <w:tc>
          <w:tcPr>
            <w:tcW w:w="1176" w:type="dxa"/>
          </w:tcPr>
          <w:p w14:paraId="681D3F4C">
            <w:pPr>
              <w:pStyle w:val="56"/>
              <w:spacing w:after="0" w:line="240" w:lineRule="auto"/>
              <w:ind w:left="0"/>
              <w:jc w:val="center"/>
              <w:rPr>
                <w:sz w:val="20"/>
                <w:szCs w:val="20"/>
              </w:rPr>
            </w:pPr>
            <w:r>
              <w:rPr>
                <w:sz w:val="20"/>
                <w:szCs w:val="20"/>
              </w:rPr>
              <w:t>Valid</w:t>
            </w:r>
          </w:p>
        </w:tc>
      </w:tr>
      <w:tr w14:paraId="489DA51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14" w:hRule="atLeast"/>
          <w:jc w:val="center"/>
        </w:trPr>
        <w:tc>
          <w:tcPr>
            <w:tcW w:w="1110" w:type="dxa"/>
            <w:vMerge w:val="continue"/>
          </w:tcPr>
          <w:p w14:paraId="6886F2FE">
            <w:pPr>
              <w:pStyle w:val="56"/>
              <w:spacing w:after="0" w:line="240" w:lineRule="auto"/>
              <w:ind w:left="0"/>
              <w:rPr>
                <w:b/>
                <w:bCs/>
                <w:sz w:val="20"/>
                <w:szCs w:val="20"/>
              </w:rPr>
            </w:pPr>
          </w:p>
        </w:tc>
        <w:tc>
          <w:tcPr>
            <w:tcW w:w="962" w:type="dxa"/>
          </w:tcPr>
          <w:p w14:paraId="1C24E4C0">
            <w:pPr>
              <w:pStyle w:val="56"/>
              <w:spacing w:after="0" w:line="240" w:lineRule="auto"/>
              <w:ind w:left="0"/>
              <w:rPr>
                <w:sz w:val="20"/>
                <w:szCs w:val="20"/>
              </w:rPr>
            </w:pPr>
            <w:r>
              <w:rPr>
                <w:sz w:val="20"/>
                <w:szCs w:val="20"/>
              </w:rPr>
              <w:t>Y4</w:t>
            </w:r>
          </w:p>
        </w:tc>
        <w:tc>
          <w:tcPr>
            <w:tcW w:w="1258" w:type="dxa"/>
          </w:tcPr>
          <w:p w14:paraId="4E68517F">
            <w:pPr>
              <w:pStyle w:val="56"/>
              <w:spacing w:after="0" w:line="240" w:lineRule="auto"/>
              <w:ind w:left="0"/>
              <w:jc w:val="center"/>
              <w:rPr>
                <w:sz w:val="20"/>
                <w:szCs w:val="20"/>
              </w:rPr>
            </w:pPr>
            <w:r>
              <w:rPr>
                <w:sz w:val="20"/>
                <w:szCs w:val="20"/>
              </w:rPr>
              <w:t>0,184</w:t>
            </w:r>
          </w:p>
        </w:tc>
        <w:tc>
          <w:tcPr>
            <w:tcW w:w="1137" w:type="dxa"/>
          </w:tcPr>
          <w:p w14:paraId="130B5460">
            <w:pPr>
              <w:pStyle w:val="56"/>
              <w:spacing w:after="0" w:line="240" w:lineRule="auto"/>
              <w:ind w:left="0"/>
              <w:jc w:val="center"/>
              <w:rPr>
                <w:sz w:val="20"/>
                <w:szCs w:val="20"/>
              </w:rPr>
            </w:pPr>
            <w:r>
              <w:rPr>
                <w:sz w:val="20"/>
                <w:szCs w:val="20"/>
              </w:rPr>
              <w:t>0,715</w:t>
            </w:r>
          </w:p>
        </w:tc>
        <w:tc>
          <w:tcPr>
            <w:tcW w:w="806" w:type="dxa"/>
          </w:tcPr>
          <w:p w14:paraId="34B0952F">
            <w:pPr>
              <w:pStyle w:val="56"/>
              <w:spacing w:after="0" w:line="240" w:lineRule="auto"/>
              <w:ind w:left="0"/>
              <w:jc w:val="center"/>
              <w:rPr>
                <w:sz w:val="20"/>
                <w:szCs w:val="20"/>
              </w:rPr>
            </w:pPr>
            <w:r>
              <w:rPr>
                <w:sz w:val="20"/>
                <w:szCs w:val="20"/>
              </w:rPr>
              <w:t>0,00</w:t>
            </w:r>
          </w:p>
        </w:tc>
        <w:tc>
          <w:tcPr>
            <w:tcW w:w="1176" w:type="dxa"/>
          </w:tcPr>
          <w:p w14:paraId="7557E94A">
            <w:pPr>
              <w:pStyle w:val="56"/>
              <w:spacing w:after="0" w:line="240" w:lineRule="auto"/>
              <w:ind w:left="0"/>
              <w:jc w:val="center"/>
              <w:rPr>
                <w:sz w:val="20"/>
                <w:szCs w:val="20"/>
              </w:rPr>
            </w:pPr>
            <w:r>
              <w:rPr>
                <w:sz w:val="20"/>
                <w:szCs w:val="20"/>
              </w:rPr>
              <w:t>Valid</w:t>
            </w:r>
          </w:p>
        </w:tc>
      </w:tr>
      <w:tr w14:paraId="091F05D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14" w:hRule="atLeast"/>
          <w:jc w:val="center"/>
        </w:trPr>
        <w:tc>
          <w:tcPr>
            <w:tcW w:w="1110" w:type="dxa"/>
            <w:vMerge w:val="continue"/>
          </w:tcPr>
          <w:p w14:paraId="62D2F15E">
            <w:pPr>
              <w:pStyle w:val="56"/>
              <w:spacing w:after="0" w:line="240" w:lineRule="auto"/>
              <w:ind w:left="0"/>
              <w:rPr>
                <w:b/>
                <w:bCs/>
                <w:sz w:val="20"/>
                <w:szCs w:val="20"/>
              </w:rPr>
            </w:pPr>
          </w:p>
        </w:tc>
        <w:tc>
          <w:tcPr>
            <w:tcW w:w="962" w:type="dxa"/>
          </w:tcPr>
          <w:p w14:paraId="51827BB7">
            <w:pPr>
              <w:pStyle w:val="56"/>
              <w:spacing w:after="0" w:line="240" w:lineRule="auto"/>
              <w:ind w:left="0"/>
              <w:rPr>
                <w:sz w:val="20"/>
                <w:szCs w:val="20"/>
              </w:rPr>
            </w:pPr>
            <w:r>
              <w:rPr>
                <w:sz w:val="20"/>
                <w:szCs w:val="20"/>
              </w:rPr>
              <w:t>Y5</w:t>
            </w:r>
          </w:p>
        </w:tc>
        <w:tc>
          <w:tcPr>
            <w:tcW w:w="1258" w:type="dxa"/>
          </w:tcPr>
          <w:p w14:paraId="15D0E9C9">
            <w:pPr>
              <w:pStyle w:val="56"/>
              <w:spacing w:after="0" w:line="240" w:lineRule="auto"/>
              <w:ind w:left="0"/>
              <w:jc w:val="center"/>
              <w:rPr>
                <w:sz w:val="20"/>
                <w:szCs w:val="20"/>
              </w:rPr>
            </w:pPr>
            <w:r>
              <w:rPr>
                <w:sz w:val="20"/>
                <w:szCs w:val="20"/>
              </w:rPr>
              <w:t>0,184</w:t>
            </w:r>
          </w:p>
        </w:tc>
        <w:tc>
          <w:tcPr>
            <w:tcW w:w="1137" w:type="dxa"/>
          </w:tcPr>
          <w:p w14:paraId="0AA57061">
            <w:pPr>
              <w:pStyle w:val="56"/>
              <w:spacing w:after="0" w:line="240" w:lineRule="auto"/>
              <w:ind w:left="0"/>
              <w:jc w:val="center"/>
              <w:rPr>
                <w:sz w:val="20"/>
                <w:szCs w:val="20"/>
              </w:rPr>
            </w:pPr>
            <w:r>
              <w:rPr>
                <w:sz w:val="20"/>
                <w:szCs w:val="20"/>
              </w:rPr>
              <w:t>0,699</w:t>
            </w:r>
          </w:p>
        </w:tc>
        <w:tc>
          <w:tcPr>
            <w:tcW w:w="806" w:type="dxa"/>
          </w:tcPr>
          <w:p w14:paraId="07D50119">
            <w:pPr>
              <w:pStyle w:val="56"/>
              <w:spacing w:after="0" w:line="240" w:lineRule="auto"/>
              <w:ind w:left="0"/>
              <w:jc w:val="center"/>
              <w:rPr>
                <w:sz w:val="20"/>
                <w:szCs w:val="20"/>
              </w:rPr>
            </w:pPr>
            <w:r>
              <w:rPr>
                <w:sz w:val="20"/>
                <w:szCs w:val="20"/>
              </w:rPr>
              <w:t>0,00</w:t>
            </w:r>
          </w:p>
        </w:tc>
        <w:tc>
          <w:tcPr>
            <w:tcW w:w="1176" w:type="dxa"/>
          </w:tcPr>
          <w:p w14:paraId="1197D6FB">
            <w:pPr>
              <w:pStyle w:val="56"/>
              <w:spacing w:after="0" w:line="240" w:lineRule="auto"/>
              <w:ind w:left="0"/>
              <w:jc w:val="center"/>
              <w:rPr>
                <w:sz w:val="20"/>
                <w:szCs w:val="20"/>
              </w:rPr>
            </w:pPr>
            <w:r>
              <w:rPr>
                <w:sz w:val="20"/>
                <w:szCs w:val="20"/>
              </w:rPr>
              <w:t>Valid</w:t>
            </w:r>
          </w:p>
        </w:tc>
      </w:tr>
    </w:tbl>
    <w:p w14:paraId="3EB3518F">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center"/>
        <w:rPr>
          <w:color w:val="000000"/>
        </w:rPr>
      </w:pPr>
    </w:p>
    <w:p w14:paraId="015BB16B">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both"/>
        <w:rPr>
          <w:color w:val="000000"/>
        </w:rPr>
      </w:pPr>
      <w:r>
        <w:rPr>
          <w:color w:val="000000"/>
        </w:rPr>
        <w:t>Dari tabel 1 diatas dapat dijelaskan bahwa berdasarkan uji validitas diperoleh nilai signifikansi &lt; 0,05 dengan nilai rhitung &gt; rtabel sehingga dapat disimpulkan bahwa seluruh item pertanyaan yang terdapat pada koesioner dalam penelitian ini dinyatakan valid.</w:t>
      </w:r>
    </w:p>
    <w:p w14:paraId="719D7D15">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center"/>
        <w:rPr>
          <w:color w:val="000000"/>
          <w:sz w:val="20"/>
          <w:szCs w:val="20"/>
        </w:rPr>
      </w:pPr>
      <w:r>
        <w:rPr>
          <w:color w:val="000000"/>
          <w:sz w:val="20"/>
          <w:szCs w:val="20"/>
        </w:rPr>
        <w:t>Tabel 3. Uji Reliabilitas</w:t>
      </w:r>
    </w:p>
    <w:tbl>
      <w:tblPr>
        <w:tblStyle w:val="18"/>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054"/>
        <w:gridCol w:w="1217"/>
        <w:gridCol w:w="1119"/>
        <w:gridCol w:w="1039"/>
        <w:gridCol w:w="1277"/>
      </w:tblGrid>
      <w:tr w14:paraId="2EB9384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71" w:hRule="atLeast"/>
          <w:jc w:val="center"/>
        </w:trPr>
        <w:tc>
          <w:tcPr>
            <w:tcW w:w="2054" w:type="dxa"/>
          </w:tcPr>
          <w:p w14:paraId="380137E4">
            <w:pPr>
              <w:pStyle w:val="56"/>
              <w:spacing w:after="0" w:line="240" w:lineRule="auto"/>
              <w:ind w:left="0"/>
              <w:jc w:val="center"/>
              <w:rPr>
                <w:b/>
                <w:bCs/>
                <w:sz w:val="20"/>
                <w:szCs w:val="20"/>
              </w:rPr>
            </w:pPr>
            <w:r>
              <w:rPr>
                <w:b/>
                <w:bCs/>
                <w:sz w:val="20"/>
                <w:szCs w:val="20"/>
              </w:rPr>
              <w:t>Variabel</w:t>
            </w:r>
          </w:p>
        </w:tc>
        <w:tc>
          <w:tcPr>
            <w:tcW w:w="1065" w:type="dxa"/>
          </w:tcPr>
          <w:p w14:paraId="21CA07FD">
            <w:pPr>
              <w:pStyle w:val="56"/>
              <w:spacing w:after="0" w:line="240" w:lineRule="auto"/>
              <w:ind w:left="0"/>
              <w:jc w:val="center"/>
              <w:rPr>
                <w:b/>
                <w:bCs/>
                <w:sz w:val="20"/>
                <w:szCs w:val="20"/>
              </w:rPr>
            </w:pPr>
            <w:r>
              <w:rPr>
                <w:b/>
                <w:bCs/>
                <w:sz w:val="20"/>
                <w:szCs w:val="20"/>
              </w:rPr>
              <w:t>Cronbach’s Alpha</w:t>
            </w:r>
          </w:p>
        </w:tc>
        <w:tc>
          <w:tcPr>
            <w:tcW w:w="1119" w:type="dxa"/>
          </w:tcPr>
          <w:p w14:paraId="5EA12670">
            <w:pPr>
              <w:pStyle w:val="56"/>
              <w:spacing w:after="0" w:line="240" w:lineRule="auto"/>
              <w:ind w:left="0"/>
              <w:jc w:val="center"/>
              <w:rPr>
                <w:b/>
                <w:bCs/>
                <w:sz w:val="20"/>
                <w:szCs w:val="20"/>
              </w:rPr>
            </w:pPr>
            <w:r>
              <w:rPr>
                <w:b/>
                <w:bCs/>
                <w:sz w:val="20"/>
                <w:szCs w:val="20"/>
              </w:rPr>
              <w:t>N of Items</w:t>
            </w:r>
          </w:p>
        </w:tc>
        <w:tc>
          <w:tcPr>
            <w:tcW w:w="1039" w:type="dxa"/>
          </w:tcPr>
          <w:p w14:paraId="674C72FF">
            <w:pPr>
              <w:pStyle w:val="56"/>
              <w:spacing w:after="0" w:line="240" w:lineRule="auto"/>
              <w:ind w:left="0"/>
              <w:jc w:val="center"/>
              <w:rPr>
                <w:b/>
                <w:bCs/>
                <w:sz w:val="20"/>
                <w:szCs w:val="20"/>
              </w:rPr>
            </w:pPr>
            <w:r>
              <w:rPr>
                <w:b/>
                <w:bCs/>
                <w:sz w:val="20"/>
                <w:szCs w:val="20"/>
              </w:rPr>
              <w:t>Alpha (a)</w:t>
            </w:r>
          </w:p>
        </w:tc>
        <w:tc>
          <w:tcPr>
            <w:tcW w:w="1277" w:type="dxa"/>
          </w:tcPr>
          <w:p w14:paraId="7AE49872">
            <w:pPr>
              <w:pStyle w:val="56"/>
              <w:spacing w:after="0" w:line="240" w:lineRule="auto"/>
              <w:ind w:left="0"/>
              <w:jc w:val="center"/>
              <w:rPr>
                <w:b/>
                <w:bCs/>
                <w:sz w:val="20"/>
                <w:szCs w:val="20"/>
              </w:rPr>
            </w:pPr>
            <w:r>
              <w:rPr>
                <w:b/>
                <w:bCs/>
                <w:sz w:val="20"/>
                <w:szCs w:val="20"/>
              </w:rPr>
              <w:t>Keterangan</w:t>
            </w:r>
          </w:p>
        </w:tc>
      </w:tr>
      <w:tr w14:paraId="10C4967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9" w:hRule="atLeast"/>
          <w:jc w:val="center"/>
        </w:trPr>
        <w:tc>
          <w:tcPr>
            <w:tcW w:w="2054" w:type="dxa"/>
          </w:tcPr>
          <w:p w14:paraId="12B03D15">
            <w:pPr>
              <w:pStyle w:val="56"/>
              <w:spacing w:after="0" w:line="240" w:lineRule="auto"/>
              <w:ind w:left="0"/>
              <w:jc w:val="center"/>
              <w:rPr>
                <w:i/>
                <w:iCs/>
                <w:sz w:val="20"/>
                <w:szCs w:val="20"/>
              </w:rPr>
            </w:pPr>
            <w:r>
              <w:rPr>
                <w:i/>
                <w:iCs/>
                <w:sz w:val="20"/>
                <w:szCs w:val="20"/>
              </w:rPr>
              <w:t>Mental Accounting</w:t>
            </w:r>
          </w:p>
        </w:tc>
        <w:tc>
          <w:tcPr>
            <w:tcW w:w="1065" w:type="dxa"/>
          </w:tcPr>
          <w:p w14:paraId="0E2400D6">
            <w:pPr>
              <w:pStyle w:val="56"/>
              <w:spacing w:after="0" w:line="240" w:lineRule="auto"/>
              <w:ind w:left="0"/>
              <w:jc w:val="center"/>
              <w:rPr>
                <w:sz w:val="20"/>
                <w:szCs w:val="20"/>
              </w:rPr>
            </w:pPr>
            <w:r>
              <w:rPr>
                <w:sz w:val="20"/>
                <w:szCs w:val="20"/>
              </w:rPr>
              <w:t>0,621</w:t>
            </w:r>
          </w:p>
        </w:tc>
        <w:tc>
          <w:tcPr>
            <w:tcW w:w="1119" w:type="dxa"/>
          </w:tcPr>
          <w:p w14:paraId="1640B9AF">
            <w:pPr>
              <w:pStyle w:val="56"/>
              <w:spacing w:after="0" w:line="240" w:lineRule="auto"/>
              <w:ind w:left="0"/>
              <w:jc w:val="center"/>
              <w:rPr>
                <w:sz w:val="20"/>
                <w:szCs w:val="20"/>
              </w:rPr>
            </w:pPr>
            <w:r>
              <w:rPr>
                <w:sz w:val="20"/>
                <w:szCs w:val="20"/>
              </w:rPr>
              <w:t>4</w:t>
            </w:r>
          </w:p>
        </w:tc>
        <w:tc>
          <w:tcPr>
            <w:tcW w:w="1039" w:type="dxa"/>
          </w:tcPr>
          <w:p w14:paraId="4C201AEE">
            <w:pPr>
              <w:pStyle w:val="56"/>
              <w:spacing w:after="0" w:line="240" w:lineRule="auto"/>
              <w:ind w:left="0"/>
              <w:jc w:val="center"/>
              <w:rPr>
                <w:sz w:val="20"/>
                <w:szCs w:val="20"/>
              </w:rPr>
            </w:pPr>
            <w:r>
              <w:rPr>
                <w:sz w:val="20"/>
                <w:szCs w:val="20"/>
              </w:rPr>
              <w:t>0,60</w:t>
            </w:r>
          </w:p>
        </w:tc>
        <w:tc>
          <w:tcPr>
            <w:tcW w:w="1277" w:type="dxa"/>
          </w:tcPr>
          <w:p w14:paraId="06B60AAF">
            <w:pPr>
              <w:pStyle w:val="56"/>
              <w:spacing w:after="0" w:line="240" w:lineRule="auto"/>
              <w:ind w:left="0"/>
              <w:jc w:val="center"/>
              <w:rPr>
                <w:sz w:val="20"/>
                <w:szCs w:val="20"/>
              </w:rPr>
            </w:pPr>
            <w:r>
              <w:rPr>
                <w:sz w:val="20"/>
                <w:szCs w:val="20"/>
              </w:rPr>
              <w:t>Realiable</w:t>
            </w:r>
          </w:p>
        </w:tc>
      </w:tr>
      <w:tr w14:paraId="4A06DFC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9" w:hRule="atLeast"/>
          <w:jc w:val="center"/>
        </w:trPr>
        <w:tc>
          <w:tcPr>
            <w:tcW w:w="2054" w:type="dxa"/>
          </w:tcPr>
          <w:p w14:paraId="60CD4A97">
            <w:pPr>
              <w:pStyle w:val="56"/>
              <w:spacing w:after="0" w:line="240" w:lineRule="auto"/>
              <w:ind w:left="0"/>
              <w:jc w:val="center"/>
              <w:rPr>
                <w:sz w:val="20"/>
                <w:szCs w:val="20"/>
              </w:rPr>
            </w:pPr>
            <w:r>
              <w:rPr>
                <w:sz w:val="20"/>
                <w:szCs w:val="20"/>
              </w:rPr>
              <w:t>Literasi Keuangan</w:t>
            </w:r>
          </w:p>
        </w:tc>
        <w:tc>
          <w:tcPr>
            <w:tcW w:w="1065" w:type="dxa"/>
          </w:tcPr>
          <w:p w14:paraId="3EB36A42">
            <w:pPr>
              <w:pStyle w:val="56"/>
              <w:spacing w:after="0" w:line="240" w:lineRule="auto"/>
              <w:ind w:left="0"/>
              <w:jc w:val="center"/>
              <w:rPr>
                <w:sz w:val="20"/>
                <w:szCs w:val="20"/>
              </w:rPr>
            </w:pPr>
            <w:r>
              <w:rPr>
                <w:sz w:val="20"/>
                <w:szCs w:val="20"/>
              </w:rPr>
              <w:t>0,601</w:t>
            </w:r>
          </w:p>
        </w:tc>
        <w:tc>
          <w:tcPr>
            <w:tcW w:w="1119" w:type="dxa"/>
          </w:tcPr>
          <w:p w14:paraId="040032EF">
            <w:pPr>
              <w:pStyle w:val="56"/>
              <w:spacing w:after="0" w:line="240" w:lineRule="auto"/>
              <w:ind w:left="0"/>
              <w:jc w:val="center"/>
              <w:rPr>
                <w:sz w:val="20"/>
                <w:szCs w:val="20"/>
              </w:rPr>
            </w:pPr>
            <w:r>
              <w:rPr>
                <w:sz w:val="20"/>
                <w:szCs w:val="20"/>
              </w:rPr>
              <w:t>5</w:t>
            </w:r>
          </w:p>
        </w:tc>
        <w:tc>
          <w:tcPr>
            <w:tcW w:w="1039" w:type="dxa"/>
          </w:tcPr>
          <w:p w14:paraId="16AE9CD8">
            <w:pPr>
              <w:pStyle w:val="56"/>
              <w:spacing w:after="0" w:line="240" w:lineRule="auto"/>
              <w:ind w:left="0"/>
              <w:jc w:val="center"/>
              <w:rPr>
                <w:sz w:val="20"/>
                <w:szCs w:val="20"/>
              </w:rPr>
            </w:pPr>
            <w:r>
              <w:rPr>
                <w:sz w:val="20"/>
                <w:szCs w:val="20"/>
              </w:rPr>
              <w:t>0,60</w:t>
            </w:r>
          </w:p>
        </w:tc>
        <w:tc>
          <w:tcPr>
            <w:tcW w:w="1277" w:type="dxa"/>
          </w:tcPr>
          <w:p w14:paraId="43C3CFC7">
            <w:pPr>
              <w:pStyle w:val="56"/>
              <w:spacing w:after="0" w:line="240" w:lineRule="auto"/>
              <w:ind w:left="0"/>
              <w:jc w:val="center"/>
              <w:rPr>
                <w:sz w:val="20"/>
                <w:szCs w:val="20"/>
              </w:rPr>
            </w:pPr>
            <w:r>
              <w:rPr>
                <w:sz w:val="20"/>
                <w:szCs w:val="20"/>
              </w:rPr>
              <w:t>Realiable</w:t>
            </w:r>
          </w:p>
        </w:tc>
      </w:tr>
      <w:tr w14:paraId="542F33F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9" w:hRule="atLeast"/>
          <w:jc w:val="center"/>
        </w:trPr>
        <w:tc>
          <w:tcPr>
            <w:tcW w:w="2054" w:type="dxa"/>
          </w:tcPr>
          <w:p w14:paraId="04C4CBDD">
            <w:pPr>
              <w:pStyle w:val="56"/>
              <w:spacing w:after="0" w:line="240" w:lineRule="auto"/>
              <w:ind w:left="0"/>
              <w:jc w:val="center"/>
              <w:rPr>
                <w:sz w:val="20"/>
                <w:szCs w:val="20"/>
              </w:rPr>
            </w:pPr>
            <w:r>
              <w:rPr>
                <w:sz w:val="20"/>
                <w:szCs w:val="20"/>
              </w:rPr>
              <w:t>Inklusi Keuangan</w:t>
            </w:r>
          </w:p>
        </w:tc>
        <w:tc>
          <w:tcPr>
            <w:tcW w:w="1065" w:type="dxa"/>
          </w:tcPr>
          <w:p w14:paraId="0CCD9197">
            <w:pPr>
              <w:pStyle w:val="56"/>
              <w:spacing w:after="0" w:line="240" w:lineRule="auto"/>
              <w:ind w:left="0"/>
              <w:jc w:val="center"/>
              <w:rPr>
                <w:sz w:val="20"/>
                <w:szCs w:val="20"/>
              </w:rPr>
            </w:pPr>
            <w:r>
              <w:rPr>
                <w:sz w:val="20"/>
                <w:szCs w:val="20"/>
              </w:rPr>
              <w:t>0,608</w:t>
            </w:r>
          </w:p>
        </w:tc>
        <w:tc>
          <w:tcPr>
            <w:tcW w:w="1119" w:type="dxa"/>
          </w:tcPr>
          <w:p w14:paraId="4556F917">
            <w:pPr>
              <w:pStyle w:val="56"/>
              <w:spacing w:after="0" w:line="240" w:lineRule="auto"/>
              <w:ind w:left="0"/>
              <w:jc w:val="center"/>
              <w:rPr>
                <w:sz w:val="20"/>
                <w:szCs w:val="20"/>
              </w:rPr>
            </w:pPr>
            <w:r>
              <w:rPr>
                <w:sz w:val="20"/>
                <w:szCs w:val="20"/>
              </w:rPr>
              <w:t>4</w:t>
            </w:r>
          </w:p>
        </w:tc>
        <w:tc>
          <w:tcPr>
            <w:tcW w:w="1039" w:type="dxa"/>
          </w:tcPr>
          <w:p w14:paraId="349EB9C7">
            <w:pPr>
              <w:pStyle w:val="56"/>
              <w:spacing w:after="0" w:line="240" w:lineRule="auto"/>
              <w:ind w:left="0"/>
              <w:jc w:val="center"/>
              <w:rPr>
                <w:sz w:val="20"/>
                <w:szCs w:val="20"/>
              </w:rPr>
            </w:pPr>
            <w:r>
              <w:rPr>
                <w:sz w:val="20"/>
                <w:szCs w:val="20"/>
              </w:rPr>
              <w:t>0,60</w:t>
            </w:r>
          </w:p>
        </w:tc>
        <w:tc>
          <w:tcPr>
            <w:tcW w:w="1277" w:type="dxa"/>
          </w:tcPr>
          <w:p w14:paraId="4849D9A4">
            <w:pPr>
              <w:pStyle w:val="56"/>
              <w:spacing w:after="0" w:line="240" w:lineRule="auto"/>
              <w:ind w:left="0"/>
              <w:jc w:val="center"/>
              <w:rPr>
                <w:sz w:val="20"/>
                <w:szCs w:val="20"/>
              </w:rPr>
            </w:pPr>
            <w:r>
              <w:rPr>
                <w:sz w:val="20"/>
                <w:szCs w:val="20"/>
              </w:rPr>
              <w:t>Realiable</w:t>
            </w:r>
          </w:p>
        </w:tc>
      </w:tr>
      <w:tr w14:paraId="455996E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93" w:hRule="atLeast"/>
          <w:jc w:val="center"/>
        </w:trPr>
        <w:tc>
          <w:tcPr>
            <w:tcW w:w="2054" w:type="dxa"/>
          </w:tcPr>
          <w:p w14:paraId="31E90D81">
            <w:pPr>
              <w:pStyle w:val="56"/>
              <w:spacing w:after="0" w:line="240" w:lineRule="auto"/>
              <w:ind w:left="0"/>
              <w:jc w:val="center"/>
              <w:rPr>
                <w:sz w:val="20"/>
                <w:szCs w:val="20"/>
              </w:rPr>
            </w:pPr>
            <w:r>
              <w:rPr>
                <w:sz w:val="20"/>
                <w:szCs w:val="20"/>
              </w:rPr>
              <w:t>Perilaku Keuangan</w:t>
            </w:r>
          </w:p>
        </w:tc>
        <w:tc>
          <w:tcPr>
            <w:tcW w:w="1065" w:type="dxa"/>
          </w:tcPr>
          <w:p w14:paraId="54B7DCFD">
            <w:pPr>
              <w:pStyle w:val="56"/>
              <w:spacing w:after="0" w:line="240" w:lineRule="auto"/>
              <w:ind w:left="0"/>
              <w:jc w:val="center"/>
              <w:rPr>
                <w:sz w:val="20"/>
                <w:szCs w:val="20"/>
              </w:rPr>
            </w:pPr>
            <w:r>
              <w:rPr>
                <w:sz w:val="20"/>
                <w:szCs w:val="20"/>
              </w:rPr>
              <w:t>0,727</w:t>
            </w:r>
          </w:p>
        </w:tc>
        <w:tc>
          <w:tcPr>
            <w:tcW w:w="1119" w:type="dxa"/>
          </w:tcPr>
          <w:p w14:paraId="2CA5A88F">
            <w:pPr>
              <w:pStyle w:val="56"/>
              <w:spacing w:after="0" w:line="240" w:lineRule="auto"/>
              <w:ind w:left="0"/>
              <w:jc w:val="center"/>
              <w:rPr>
                <w:sz w:val="20"/>
                <w:szCs w:val="20"/>
              </w:rPr>
            </w:pPr>
            <w:r>
              <w:rPr>
                <w:sz w:val="20"/>
                <w:szCs w:val="20"/>
              </w:rPr>
              <w:t>5</w:t>
            </w:r>
          </w:p>
        </w:tc>
        <w:tc>
          <w:tcPr>
            <w:tcW w:w="1039" w:type="dxa"/>
          </w:tcPr>
          <w:p w14:paraId="6A4036D6">
            <w:pPr>
              <w:pStyle w:val="56"/>
              <w:spacing w:after="0" w:line="240" w:lineRule="auto"/>
              <w:ind w:left="0"/>
              <w:jc w:val="center"/>
              <w:rPr>
                <w:sz w:val="20"/>
                <w:szCs w:val="20"/>
              </w:rPr>
            </w:pPr>
            <w:r>
              <w:rPr>
                <w:sz w:val="20"/>
                <w:szCs w:val="20"/>
              </w:rPr>
              <w:t>0,60</w:t>
            </w:r>
          </w:p>
        </w:tc>
        <w:tc>
          <w:tcPr>
            <w:tcW w:w="1277" w:type="dxa"/>
          </w:tcPr>
          <w:p w14:paraId="3C84951F">
            <w:pPr>
              <w:pStyle w:val="56"/>
              <w:spacing w:after="0" w:line="240" w:lineRule="auto"/>
              <w:ind w:left="0"/>
              <w:jc w:val="center"/>
              <w:rPr>
                <w:sz w:val="20"/>
                <w:szCs w:val="20"/>
              </w:rPr>
            </w:pPr>
            <w:r>
              <w:rPr>
                <w:sz w:val="20"/>
                <w:szCs w:val="20"/>
              </w:rPr>
              <w:t>Realiable</w:t>
            </w:r>
          </w:p>
        </w:tc>
      </w:tr>
    </w:tbl>
    <w:p w14:paraId="1E069C85">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center"/>
        <w:rPr>
          <w:color w:val="000000"/>
        </w:rPr>
      </w:pPr>
    </w:p>
    <w:p w14:paraId="6C52D55C">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both"/>
        <w:rPr>
          <w:color w:val="000000"/>
        </w:rPr>
      </w:pPr>
      <w:r>
        <w:rPr>
          <w:color w:val="000000"/>
        </w:rPr>
        <w:t>Hasil  uji reabilitas tersebut di atas dapat disimpulkan bahwa seluruh item pertanyaan pada keempat variabel yang terdiri dari variabel dependen dan independen memiliki nilai &gt; 0,60 yang berarti realiable dan dapat digunakan dalam penelitian.</w:t>
      </w:r>
    </w:p>
    <w:p w14:paraId="45932D96">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center"/>
        <w:rPr>
          <w:color w:val="000000"/>
          <w:sz w:val="20"/>
          <w:szCs w:val="20"/>
        </w:rPr>
      </w:pPr>
      <w:r>
        <w:rPr>
          <w:color w:val="000000"/>
          <w:sz w:val="20"/>
          <w:szCs w:val="20"/>
        </w:rPr>
        <w:t>Tabel 4. Uji Normalitas</w:t>
      </w:r>
    </w:p>
    <w:tbl>
      <w:tblPr>
        <w:tblStyle w:val="18"/>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636"/>
        <w:gridCol w:w="991"/>
        <w:gridCol w:w="1007"/>
        <w:gridCol w:w="2423"/>
      </w:tblGrid>
      <w:tr w14:paraId="750FF7F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90" w:hRule="atLeast"/>
          <w:jc w:val="center"/>
        </w:trPr>
        <w:tc>
          <w:tcPr>
            <w:tcW w:w="1636" w:type="dxa"/>
          </w:tcPr>
          <w:p w14:paraId="64FC530E">
            <w:pPr>
              <w:pStyle w:val="56"/>
              <w:spacing w:after="0" w:line="240" w:lineRule="auto"/>
              <w:ind w:left="0"/>
              <w:jc w:val="center"/>
              <w:rPr>
                <w:b/>
                <w:bCs/>
                <w:sz w:val="20"/>
                <w:szCs w:val="20"/>
              </w:rPr>
            </w:pPr>
            <w:r>
              <w:rPr>
                <w:b/>
                <w:bCs/>
                <w:sz w:val="20"/>
                <w:szCs w:val="20"/>
              </w:rPr>
              <w:t>Variabel</w:t>
            </w:r>
          </w:p>
        </w:tc>
        <w:tc>
          <w:tcPr>
            <w:tcW w:w="991" w:type="dxa"/>
          </w:tcPr>
          <w:p w14:paraId="3F0B3294">
            <w:pPr>
              <w:pStyle w:val="56"/>
              <w:spacing w:after="0" w:line="240" w:lineRule="auto"/>
              <w:ind w:left="0"/>
              <w:jc w:val="center"/>
              <w:rPr>
                <w:b/>
                <w:bCs/>
                <w:sz w:val="20"/>
                <w:szCs w:val="20"/>
              </w:rPr>
            </w:pPr>
            <w:r>
              <w:rPr>
                <w:b/>
                <w:bCs/>
                <w:sz w:val="20"/>
                <w:szCs w:val="20"/>
              </w:rPr>
              <w:t>Sig</w:t>
            </w:r>
          </w:p>
        </w:tc>
        <w:tc>
          <w:tcPr>
            <w:tcW w:w="1007" w:type="dxa"/>
          </w:tcPr>
          <w:p w14:paraId="2BA02039">
            <w:pPr>
              <w:pStyle w:val="56"/>
              <w:spacing w:after="0" w:line="240" w:lineRule="auto"/>
              <w:ind w:left="0"/>
              <w:jc w:val="center"/>
              <w:rPr>
                <w:b/>
                <w:bCs/>
                <w:sz w:val="20"/>
                <w:szCs w:val="20"/>
              </w:rPr>
            </w:pPr>
            <w:r>
              <w:rPr>
                <w:b/>
                <w:bCs/>
                <w:sz w:val="20"/>
                <w:szCs w:val="20"/>
              </w:rPr>
              <w:t>Standar</w:t>
            </w:r>
          </w:p>
        </w:tc>
        <w:tc>
          <w:tcPr>
            <w:tcW w:w="2423" w:type="dxa"/>
          </w:tcPr>
          <w:p w14:paraId="3900F6FC">
            <w:pPr>
              <w:pStyle w:val="56"/>
              <w:spacing w:after="0" w:line="240" w:lineRule="auto"/>
              <w:ind w:left="0"/>
              <w:jc w:val="center"/>
              <w:rPr>
                <w:b/>
                <w:bCs/>
                <w:sz w:val="20"/>
                <w:szCs w:val="20"/>
              </w:rPr>
            </w:pPr>
            <w:r>
              <w:rPr>
                <w:b/>
                <w:bCs/>
                <w:sz w:val="20"/>
                <w:szCs w:val="20"/>
              </w:rPr>
              <w:t>Keterangan</w:t>
            </w:r>
          </w:p>
        </w:tc>
      </w:tr>
      <w:tr w14:paraId="79662A2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66" w:hRule="atLeast"/>
          <w:jc w:val="center"/>
        </w:trPr>
        <w:tc>
          <w:tcPr>
            <w:tcW w:w="1636" w:type="dxa"/>
          </w:tcPr>
          <w:p w14:paraId="00A79C97">
            <w:pPr>
              <w:pStyle w:val="56"/>
              <w:spacing w:after="0" w:line="240" w:lineRule="auto"/>
              <w:ind w:left="0"/>
              <w:jc w:val="center"/>
              <w:rPr>
                <w:i/>
                <w:iCs/>
                <w:sz w:val="20"/>
                <w:szCs w:val="20"/>
              </w:rPr>
            </w:pPr>
            <w:r>
              <w:rPr>
                <w:i/>
                <w:iCs/>
                <w:sz w:val="20"/>
                <w:szCs w:val="20"/>
              </w:rPr>
              <w:t>Unstandardized Residual</w:t>
            </w:r>
          </w:p>
        </w:tc>
        <w:tc>
          <w:tcPr>
            <w:tcW w:w="991" w:type="dxa"/>
          </w:tcPr>
          <w:p w14:paraId="392EFDA2">
            <w:pPr>
              <w:pStyle w:val="56"/>
              <w:spacing w:after="0" w:line="240" w:lineRule="auto"/>
              <w:ind w:left="0"/>
              <w:jc w:val="center"/>
              <w:rPr>
                <w:sz w:val="20"/>
                <w:szCs w:val="20"/>
              </w:rPr>
            </w:pPr>
            <w:r>
              <w:rPr>
                <w:sz w:val="20"/>
                <w:szCs w:val="20"/>
              </w:rPr>
              <w:t>0,200</w:t>
            </w:r>
          </w:p>
        </w:tc>
        <w:tc>
          <w:tcPr>
            <w:tcW w:w="1007" w:type="dxa"/>
          </w:tcPr>
          <w:p w14:paraId="5AC51335">
            <w:pPr>
              <w:pStyle w:val="56"/>
              <w:spacing w:after="0" w:line="240" w:lineRule="auto"/>
              <w:ind w:left="0"/>
              <w:jc w:val="center"/>
              <w:rPr>
                <w:sz w:val="20"/>
                <w:szCs w:val="20"/>
              </w:rPr>
            </w:pPr>
            <w:r>
              <w:rPr>
                <w:sz w:val="20"/>
                <w:szCs w:val="20"/>
              </w:rPr>
              <w:t>0,05</w:t>
            </w:r>
          </w:p>
        </w:tc>
        <w:tc>
          <w:tcPr>
            <w:tcW w:w="2423" w:type="dxa"/>
          </w:tcPr>
          <w:p w14:paraId="557EB803">
            <w:pPr>
              <w:pStyle w:val="56"/>
              <w:spacing w:after="0" w:line="240" w:lineRule="auto"/>
              <w:ind w:left="0"/>
              <w:jc w:val="center"/>
              <w:rPr>
                <w:sz w:val="20"/>
                <w:szCs w:val="20"/>
              </w:rPr>
            </w:pPr>
            <w:r>
              <w:rPr>
                <w:sz w:val="20"/>
                <w:szCs w:val="20"/>
              </w:rPr>
              <w:t>Data Berdistribusi Normal</w:t>
            </w:r>
          </w:p>
        </w:tc>
      </w:tr>
    </w:tbl>
    <w:p w14:paraId="24520C05">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center"/>
      </w:pPr>
    </w:p>
    <w:p w14:paraId="1BD58637">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both"/>
        <w:rPr>
          <w:color w:val="000000"/>
        </w:rPr>
      </w:pPr>
      <w:r>
        <w:rPr>
          <w:color w:val="000000"/>
        </w:rPr>
        <w:t>Berdasarkan tabel 4.9 tersebut di atas, dapat disimpulkan bahwa nilai signifikan dari uji normalitas &gt; 0,05. Hal tersebut berarti uji normalitas pada penelitian ini berdistribusi normal.</w:t>
      </w:r>
    </w:p>
    <w:p w14:paraId="586F2F13">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center"/>
        <w:rPr>
          <w:color w:val="000000"/>
          <w:sz w:val="20"/>
          <w:szCs w:val="20"/>
        </w:rPr>
      </w:pPr>
      <w:r>
        <w:rPr>
          <w:color w:val="000000"/>
          <w:sz w:val="20"/>
          <w:szCs w:val="20"/>
        </w:rPr>
        <w:t>Tabel 5. Uji Multikolinieritas</w:t>
      </w:r>
    </w:p>
    <w:tbl>
      <w:tblPr>
        <w:tblStyle w:val="18"/>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442"/>
        <w:gridCol w:w="1346"/>
        <w:gridCol w:w="928"/>
        <w:gridCol w:w="673"/>
        <w:gridCol w:w="928"/>
        <w:gridCol w:w="1665"/>
      </w:tblGrid>
      <w:tr w14:paraId="633A998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2" w:hRule="atLeast"/>
          <w:jc w:val="center"/>
        </w:trPr>
        <w:tc>
          <w:tcPr>
            <w:tcW w:w="1442" w:type="dxa"/>
          </w:tcPr>
          <w:p w14:paraId="0C41E18B">
            <w:pPr>
              <w:pStyle w:val="56"/>
              <w:spacing w:after="0" w:line="240" w:lineRule="auto"/>
              <w:ind w:left="0"/>
              <w:jc w:val="center"/>
              <w:rPr>
                <w:b/>
                <w:bCs/>
                <w:sz w:val="20"/>
                <w:szCs w:val="20"/>
              </w:rPr>
            </w:pPr>
            <w:r>
              <w:rPr>
                <w:b/>
                <w:bCs/>
                <w:sz w:val="20"/>
                <w:szCs w:val="20"/>
              </w:rPr>
              <w:t>Variabel</w:t>
            </w:r>
          </w:p>
        </w:tc>
        <w:tc>
          <w:tcPr>
            <w:tcW w:w="1346" w:type="dxa"/>
          </w:tcPr>
          <w:p w14:paraId="56765501">
            <w:pPr>
              <w:pStyle w:val="56"/>
              <w:spacing w:after="0" w:line="240" w:lineRule="auto"/>
              <w:ind w:left="0"/>
              <w:jc w:val="center"/>
              <w:rPr>
                <w:b/>
                <w:bCs/>
                <w:i/>
                <w:iCs/>
                <w:sz w:val="20"/>
                <w:szCs w:val="20"/>
              </w:rPr>
            </w:pPr>
            <w:r>
              <w:rPr>
                <w:b/>
                <w:bCs/>
                <w:i/>
                <w:iCs/>
                <w:sz w:val="20"/>
                <w:szCs w:val="20"/>
              </w:rPr>
              <w:t>Tolerance</w:t>
            </w:r>
          </w:p>
        </w:tc>
        <w:tc>
          <w:tcPr>
            <w:tcW w:w="928" w:type="dxa"/>
          </w:tcPr>
          <w:p w14:paraId="14A7FA75">
            <w:pPr>
              <w:pStyle w:val="56"/>
              <w:spacing w:after="0" w:line="240" w:lineRule="auto"/>
              <w:ind w:left="0"/>
              <w:jc w:val="center"/>
              <w:rPr>
                <w:b/>
                <w:bCs/>
                <w:sz w:val="20"/>
                <w:szCs w:val="20"/>
              </w:rPr>
            </w:pPr>
            <w:r>
              <w:rPr>
                <w:b/>
                <w:bCs/>
                <w:sz w:val="20"/>
                <w:szCs w:val="20"/>
              </w:rPr>
              <w:t>Standar</w:t>
            </w:r>
          </w:p>
        </w:tc>
        <w:tc>
          <w:tcPr>
            <w:tcW w:w="673" w:type="dxa"/>
          </w:tcPr>
          <w:p w14:paraId="0B400DFC">
            <w:pPr>
              <w:pStyle w:val="56"/>
              <w:spacing w:after="0" w:line="240" w:lineRule="auto"/>
              <w:ind w:left="0"/>
              <w:jc w:val="center"/>
              <w:rPr>
                <w:b/>
                <w:bCs/>
                <w:sz w:val="20"/>
                <w:szCs w:val="20"/>
              </w:rPr>
            </w:pPr>
            <w:r>
              <w:rPr>
                <w:b/>
                <w:bCs/>
                <w:sz w:val="20"/>
                <w:szCs w:val="20"/>
              </w:rPr>
              <w:t>VIF</w:t>
            </w:r>
          </w:p>
        </w:tc>
        <w:tc>
          <w:tcPr>
            <w:tcW w:w="928" w:type="dxa"/>
          </w:tcPr>
          <w:p w14:paraId="336527DB">
            <w:pPr>
              <w:pStyle w:val="56"/>
              <w:spacing w:after="0" w:line="240" w:lineRule="auto"/>
              <w:ind w:left="0"/>
              <w:jc w:val="center"/>
              <w:rPr>
                <w:b/>
                <w:bCs/>
                <w:sz w:val="20"/>
                <w:szCs w:val="20"/>
              </w:rPr>
            </w:pPr>
            <w:r>
              <w:rPr>
                <w:b/>
                <w:bCs/>
                <w:sz w:val="20"/>
                <w:szCs w:val="20"/>
              </w:rPr>
              <w:t>Standar</w:t>
            </w:r>
          </w:p>
        </w:tc>
        <w:tc>
          <w:tcPr>
            <w:tcW w:w="1665" w:type="dxa"/>
          </w:tcPr>
          <w:p w14:paraId="4AB6D5F3">
            <w:pPr>
              <w:pStyle w:val="56"/>
              <w:spacing w:after="0" w:line="240" w:lineRule="auto"/>
              <w:ind w:left="0"/>
              <w:jc w:val="center"/>
              <w:rPr>
                <w:b/>
                <w:bCs/>
                <w:sz w:val="20"/>
                <w:szCs w:val="20"/>
              </w:rPr>
            </w:pPr>
            <w:r>
              <w:rPr>
                <w:b/>
                <w:bCs/>
                <w:sz w:val="20"/>
                <w:szCs w:val="20"/>
              </w:rPr>
              <w:t>Keterangan</w:t>
            </w:r>
          </w:p>
        </w:tc>
      </w:tr>
      <w:tr w14:paraId="013647C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4" w:hRule="atLeast"/>
          <w:jc w:val="center"/>
        </w:trPr>
        <w:tc>
          <w:tcPr>
            <w:tcW w:w="1442" w:type="dxa"/>
          </w:tcPr>
          <w:p w14:paraId="5A1FB59D">
            <w:pPr>
              <w:pStyle w:val="56"/>
              <w:spacing w:after="0" w:line="240" w:lineRule="auto"/>
              <w:ind w:left="0"/>
              <w:rPr>
                <w:i/>
                <w:iCs/>
                <w:sz w:val="20"/>
                <w:szCs w:val="20"/>
              </w:rPr>
            </w:pPr>
            <w:r>
              <w:rPr>
                <w:i/>
                <w:iCs/>
                <w:sz w:val="20"/>
                <w:szCs w:val="20"/>
              </w:rPr>
              <w:t>Mental Accounting</w:t>
            </w:r>
          </w:p>
        </w:tc>
        <w:tc>
          <w:tcPr>
            <w:tcW w:w="1346" w:type="dxa"/>
          </w:tcPr>
          <w:p w14:paraId="0D873A61">
            <w:pPr>
              <w:pStyle w:val="56"/>
              <w:spacing w:after="0" w:line="240" w:lineRule="auto"/>
              <w:ind w:left="0"/>
              <w:jc w:val="center"/>
              <w:rPr>
                <w:sz w:val="20"/>
                <w:szCs w:val="20"/>
              </w:rPr>
            </w:pPr>
            <w:r>
              <w:rPr>
                <w:sz w:val="20"/>
                <w:szCs w:val="20"/>
              </w:rPr>
              <w:t>0,821</w:t>
            </w:r>
          </w:p>
        </w:tc>
        <w:tc>
          <w:tcPr>
            <w:tcW w:w="928" w:type="dxa"/>
          </w:tcPr>
          <w:p w14:paraId="17D755C3">
            <w:pPr>
              <w:pStyle w:val="56"/>
              <w:spacing w:after="0" w:line="240" w:lineRule="auto"/>
              <w:ind w:left="0"/>
              <w:jc w:val="center"/>
              <w:rPr>
                <w:sz w:val="20"/>
                <w:szCs w:val="20"/>
              </w:rPr>
            </w:pPr>
            <w:r>
              <w:rPr>
                <w:sz w:val="20"/>
                <w:szCs w:val="20"/>
              </w:rPr>
              <w:t>0,10</w:t>
            </w:r>
          </w:p>
        </w:tc>
        <w:tc>
          <w:tcPr>
            <w:tcW w:w="673" w:type="dxa"/>
          </w:tcPr>
          <w:p w14:paraId="3B01C7FF">
            <w:pPr>
              <w:pStyle w:val="56"/>
              <w:spacing w:after="0" w:line="240" w:lineRule="auto"/>
              <w:ind w:left="0"/>
              <w:jc w:val="center"/>
              <w:rPr>
                <w:sz w:val="20"/>
                <w:szCs w:val="20"/>
              </w:rPr>
            </w:pPr>
            <w:r>
              <w:rPr>
                <w:sz w:val="20"/>
                <w:szCs w:val="20"/>
              </w:rPr>
              <w:t>1,217</w:t>
            </w:r>
          </w:p>
        </w:tc>
        <w:tc>
          <w:tcPr>
            <w:tcW w:w="928" w:type="dxa"/>
          </w:tcPr>
          <w:p w14:paraId="4E625747">
            <w:pPr>
              <w:pStyle w:val="56"/>
              <w:spacing w:after="0" w:line="240" w:lineRule="auto"/>
              <w:ind w:left="0"/>
              <w:jc w:val="center"/>
              <w:rPr>
                <w:sz w:val="20"/>
                <w:szCs w:val="20"/>
              </w:rPr>
            </w:pPr>
            <w:r>
              <w:rPr>
                <w:sz w:val="20"/>
                <w:szCs w:val="20"/>
              </w:rPr>
              <w:t>10</w:t>
            </w:r>
          </w:p>
        </w:tc>
        <w:tc>
          <w:tcPr>
            <w:tcW w:w="1665" w:type="dxa"/>
          </w:tcPr>
          <w:p w14:paraId="2DBB303C">
            <w:pPr>
              <w:pStyle w:val="56"/>
              <w:spacing w:after="0" w:line="240" w:lineRule="auto"/>
              <w:ind w:left="0"/>
              <w:jc w:val="center"/>
              <w:rPr>
                <w:sz w:val="20"/>
                <w:szCs w:val="20"/>
              </w:rPr>
            </w:pPr>
            <w:r>
              <w:rPr>
                <w:sz w:val="20"/>
                <w:szCs w:val="20"/>
              </w:rPr>
              <w:t>Tidak Terjadi Multikolinearitas</w:t>
            </w:r>
          </w:p>
        </w:tc>
      </w:tr>
      <w:tr w14:paraId="6DE9AFA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4" w:hRule="atLeast"/>
          <w:jc w:val="center"/>
        </w:trPr>
        <w:tc>
          <w:tcPr>
            <w:tcW w:w="1442" w:type="dxa"/>
          </w:tcPr>
          <w:p w14:paraId="1A6CC9A1">
            <w:pPr>
              <w:pStyle w:val="56"/>
              <w:spacing w:after="0" w:line="240" w:lineRule="auto"/>
              <w:ind w:left="0"/>
              <w:rPr>
                <w:sz w:val="20"/>
                <w:szCs w:val="20"/>
              </w:rPr>
            </w:pPr>
            <w:r>
              <w:rPr>
                <w:sz w:val="20"/>
                <w:szCs w:val="20"/>
              </w:rPr>
              <w:t>Literasi Keuangan</w:t>
            </w:r>
          </w:p>
        </w:tc>
        <w:tc>
          <w:tcPr>
            <w:tcW w:w="1346" w:type="dxa"/>
          </w:tcPr>
          <w:p w14:paraId="5A7FF6A3">
            <w:pPr>
              <w:pStyle w:val="56"/>
              <w:spacing w:after="0" w:line="240" w:lineRule="auto"/>
              <w:ind w:left="0"/>
              <w:jc w:val="center"/>
              <w:rPr>
                <w:sz w:val="20"/>
                <w:szCs w:val="20"/>
              </w:rPr>
            </w:pPr>
            <w:r>
              <w:rPr>
                <w:sz w:val="20"/>
                <w:szCs w:val="20"/>
              </w:rPr>
              <w:t>0,872</w:t>
            </w:r>
          </w:p>
        </w:tc>
        <w:tc>
          <w:tcPr>
            <w:tcW w:w="928" w:type="dxa"/>
          </w:tcPr>
          <w:p w14:paraId="7A25A5B0">
            <w:pPr>
              <w:pStyle w:val="56"/>
              <w:spacing w:after="0" w:line="240" w:lineRule="auto"/>
              <w:ind w:left="0"/>
              <w:jc w:val="center"/>
              <w:rPr>
                <w:sz w:val="20"/>
                <w:szCs w:val="20"/>
              </w:rPr>
            </w:pPr>
            <w:r>
              <w:rPr>
                <w:sz w:val="20"/>
                <w:szCs w:val="20"/>
              </w:rPr>
              <w:t>0,10</w:t>
            </w:r>
          </w:p>
        </w:tc>
        <w:tc>
          <w:tcPr>
            <w:tcW w:w="673" w:type="dxa"/>
          </w:tcPr>
          <w:p w14:paraId="11524AA0">
            <w:pPr>
              <w:pStyle w:val="56"/>
              <w:spacing w:after="0" w:line="240" w:lineRule="auto"/>
              <w:ind w:left="0"/>
              <w:jc w:val="center"/>
              <w:rPr>
                <w:sz w:val="20"/>
                <w:szCs w:val="20"/>
              </w:rPr>
            </w:pPr>
            <w:r>
              <w:rPr>
                <w:sz w:val="20"/>
                <w:szCs w:val="20"/>
              </w:rPr>
              <w:t>1,147</w:t>
            </w:r>
          </w:p>
        </w:tc>
        <w:tc>
          <w:tcPr>
            <w:tcW w:w="928" w:type="dxa"/>
          </w:tcPr>
          <w:p w14:paraId="1D058F01">
            <w:pPr>
              <w:pStyle w:val="56"/>
              <w:spacing w:after="0" w:line="240" w:lineRule="auto"/>
              <w:ind w:left="0"/>
              <w:jc w:val="center"/>
              <w:rPr>
                <w:sz w:val="20"/>
                <w:szCs w:val="20"/>
              </w:rPr>
            </w:pPr>
            <w:r>
              <w:rPr>
                <w:sz w:val="20"/>
                <w:szCs w:val="20"/>
              </w:rPr>
              <w:t>10</w:t>
            </w:r>
          </w:p>
        </w:tc>
        <w:tc>
          <w:tcPr>
            <w:tcW w:w="1665" w:type="dxa"/>
          </w:tcPr>
          <w:p w14:paraId="794BD9A6">
            <w:pPr>
              <w:pStyle w:val="56"/>
              <w:spacing w:after="0" w:line="240" w:lineRule="auto"/>
              <w:ind w:left="0"/>
              <w:jc w:val="center"/>
              <w:rPr>
                <w:sz w:val="20"/>
                <w:szCs w:val="20"/>
              </w:rPr>
            </w:pPr>
            <w:r>
              <w:rPr>
                <w:sz w:val="20"/>
                <w:szCs w:val="20"/>
              </w:rPr>
              <w:t>Tidak Terjadi Multikolinearitas</w:t>
            </w:r>
          </w:p>
        </w:tc>
      </w:tr>
      <w:tr w14:paraId="74D941D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4" w:hRule="atLeast"/>
          <w:jc w:val="center"/>
        </w:trPr>
        <w:tc>
          <w:tcPr>
            <w:tcW w:w="1442" w:type="dxa"/>
          </w:tcPr>
          <w:p w14:paraId="3904D810">
            <w:pPr>
              <w:pStyle w:val="56"/>
              <w:spacing w:after="0" w:line="240" w:lineRule="auto"/>
              <w:ind w:left="0"/>
              <w:rPr>
                <w:sz w:val="20"/>
                <w:szCs w:val="20"/>
              </w:rPr>
            </w:pPr>
            <w:r>
              <w:rPr>
                <w:sz w:val="20"/>
                <w:szCs w:val="20"/>
              </w:rPr>
              <w:t>Inklusi Keuangan</w:t>
            </w:r>
          </w:p>
        </w:tc>
        <w:tc>
          <w:tcPr>
            <w:tcW w:w="1346" w:type="dxa"/>
          </w:tcPr>
          <w:p w14:paraId="09E1A66C">
            <w:pPr>
              <w:pStyle w:val="56"/>
              <w:spacing w:after="0" w:line="240" w:lineRule="auto"/>
              <w:ind w:left="0"/>
              <w:jc w:val="center"/>
              <w:rPr>
                <w:sz w:val="20"/>
                <w:szCs w:val="20"/>
              </w:rPr>
            </w:pPr>
            <w:r>
              <w:rPr>
                <w:sz w:val="20"/>
                <w:szCs w:val="20"/>
              </w:rPr>
              <w:t>0,928</w:t>
            </w:r>
          </w:p>
        </w:tc>
        <w:tc>
          <w:tcPr>
            <w:tcW w:w="928" w:type="dxa"/>
          </w:tcPr>
          <w:p w14:paraId="30BA3116">
            <w:pPr>
              <w:pStyle w:val="56"/>
              <w:spacing w:after="0" w:line="240" w:lineRule="auto"/>
              <w:ind w:left="0"/>
              <w:jc w:val="center"/>
              <w:rPr>
                <w:sz w:val="20"/>
                <w:szCs w:val="20"/>
              </w:rPr>
            </w:pPr>
            <w:r>
              <w:rPr>
                <w:sz w:val="20"/>
                <w:szCs w:val="20"/>
              </w:rPr>
              <w:t>0,10</w:t>
            </w:r>
          </w:p>
        </w:tc>
        <w:tc>
          <w:tcPr>
            <w:tcW w:w="673" w:type="dxa"/>
          </w:tcPr>
          <w:p w14:paraId="71F9E724">
            <w:pPr>
              <w:pStyle w:val="56"/>
              <w:spacing w:after="0" w:line="240" w:lineRule="auto"/>
              <w:ind w:left="0"/>
              <w:jc w:val="center"/>
              <w:rPr>
                <w:sz w:val="20"/>
                <w:szCs w:val="20"/>
              </w:rPr>
            </w:pPr>
            <w:r>
              <w:rPr>
                <w:sz w:val="20"/>
                <w:szCs w:val="20"/>
              </w:rPr>
              <w:t>1,077</w:t>
            </w:r>
          </w:p>
        </w:tc>
        <w:tc>
          <w:tcPr>
            <w:tcW w:w="928" w:type="dxa"/>
          </w:tcPr>
          <w:p w14:paraId="1B253B3A">
            <w:pPr>
              <w:pStyle w:val="56"/>
              <w:spacing w:after="0" w:line="240" w:lineRule="auto"/>
              <w:ind w:left="0"/>
              <w:jc w:val="center"/>
              <w:rPr>
                <w:sz w:val="20"/>
                <w:szCs w:val="20"/>
              </w:rPr>
            </w:pPr>
            <w:r>
              <w:rPr>
                <w:sz w:val="20"/>
                <w:szCs w:val="20"/>
              </w:rPr>
              <w:t>10</w:t>
            </w:r>
          </w:p>
        </w:tc>
        <w:tc>
          <w:tcPr>
            <w:tcW w:w="1665" w:type="dxa"/>
          </w:tcPr>
          <w:p w14:paraId="7E5DF051">
            <w:pPr>
              <w:pStyle w:val="56"/>
              <w:spacing w:after="0" w:line="240" w:lineRule="auto"/>
              <w:ind w:left="0"/>
              <w:jc w:val="center"/>
              <w:rPr>
                <w:sz w:val="20"/>
                <w:szCs w:val="20"/>
              </w:rPr>
            </w:pPr>
            <w:r>
              <w:rPr>
                <w:sz w:val="20"/>
                <w:szCs w:val="20"/>
              </w:rPr>
              <w:t>Tidak Terjadi Multikolinearitas</w:t>
            </w:r>
          </w:p>
        </w:tc>
      </w:tr>
    </w:tbl>
    <w:p w14:paraId="31BB8A78">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center"/>
        <w:rPr>
          <w:color w:val="000000"/>
        </w:rPr>
      </w:pPr>
    </w:p>
    <w:p w14:paraId="68BBC08D">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both"/>
        <w:rPr>
          <w:color w:val="000000"/>
        </w:rPr>
      </w:pPr>
      <w:r>
        <w:rPr>
          <w:color w:val="000000"/>
        </w:rPr>
        <w:t>Tabel 4  menunjukkan bahwa nilai tolerance dari semua variabel yang bersifat independen &gt; 0,10. Adapun untuk nilai VIF menunjukkan angka &lt; 10, sehingga dari hasil tersebut di atas dapat dinyatakan bahwa tidak terjadi multikolinearitas pada model regresi ini.</w:t>
      </w:r>
    </w:p>
    <w:p w14:paraId="06B9071D">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center"/>
        <w:rPr>
          <w:color w:val="000000"/>
          <w:sz w:val="20"/>
          <w:szCs w:val="20"/>
        </w:rPr>
      </w:pPr>
      <w:r>
        <w:rPr>
          <w:color w:val="000000"/>
          <w:sz w:val="20"/>
          <w:szCs w:val="20"/>
        </w:rPr>
        <w:t>Tabel 6. Uji Heterokedastisitas</w:t>
      </w:r>
    </w:p>
    <w:tbl>
      <w:tblPr>
        <w:tblStyle w:val="18"/>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627"/>
        <w:gridCol w:w="1488"/>
        <w:gridCol w:w="1660"/>
        <w:gridCol w:w="2069"/>
      </w:tblGrid>
      <w:tr w14:paraId="40827E3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627" w:type="dxa"/>
          </w:tcPr>
          <w:p w14:paraId="257DB718">
            <w:pPr>
              <w:pStyle w:val="56"/>
              <w:spacing w:after="0" w:line="240" w:lineRule="auto"/>
              <w:ind w:left="0"/>
              <w:jc w:val="center"/>
              <w:rPr>
                <w:b/>
                <w:bCs/>
                <w:sz w:val="20"/>
                <w:szCs w:val="20"/>
              </w:rPr>
            </w:pPr>
            <w:r>
              <w:rPr>
                <w:b/>
                <w:bCs/>
                <w:sz w:val="20"/>
                <w:szCs w:val="20"/>
              </w:rPr>
              <w:t>Variabel</w:t>
            </w:r>
          </w:p>
        </w:tc>
        <w:tc>
          <w:tcPr>
            <w:tcW w:w="1488" w:type="dxa"/>
          </w:tcPr>
          <w:p w14:paraId="62E5D282">
            <w:pPr>
              <w:pStyle w:val="56"/>
              <w:spacing w:after="0" w:line="240" w:lineRule="auto"/>
              <w:ind w:left="0"/>
              <w:jc w:val="center"/>
              <w:rPr>
                <w:b/>
                <w:bCs/>
                <w:sz w:val="20"/>
                <w:szCs w:val="20"/>
              </w:rPr>
            </w:pPr>
            <w:r>
              <w:rPr>
                <w:b/>
                <w:bCs/>
                <w:sz w:val="20"/>
                <w:szCs w:val="20"/>
              </w:rPr>
              <w:t>Sig</w:t>
            </w:r>
          </w:p>
        </w:tc>
        <w:tc>
          <w:tcPr>
            <w:tcW w:w="1660" w:type="dxa"/>
          </w:tcPr>
          <w:p w14:paraId="25C9A74F">
            <w:pPr>
              <w:pStyle w:val="56"/>
              <w:spacing w:after="0" w:line="240" w:lineRule="auto"/>
              <w:ind w:left="0"/>
              <w:jc w:val="center"/>
              <w:rPr>
                <w:b/>
                <w:bCs/>
                <w:sz w:val="20"/>
                <w:szCs w:val="20"/>
              </w:rPr>
            </w:pPr>
            <w:r>
              <w:rPr>
                <w:b/>
                <w:bCs/>
                <w:sz w:val="20"/>
                <w:szCs w:val="20"/>
              </w:rPr>
              <w:t>Standar</w:t>
            </w:r>
          </w:p>
        </w:tc>
        <w:tc>
          <w:tcPr>
            <w:tcW w:w="2069" w:type="dxa"/>
          </w:tcPr>
          <w:p w14:paraId="4424529F">
            <w:pPr>
              <w:pStyle w:val="56"/>
              <w:spacing w:after="0" w:line="240" w:lineRule="auto"/>
              <w:ind w:left="0"/>
              <w:jc w:val="center"/>
              <w:rPr>
                <w:b/>
                <w:bCs/>
                <w:sz w:val="20"/>
                <w:szCs w:val="20"/>
              </w:rPr>
            </w:pPr>
            <w:r>
              <w:rPr>
                <w:b/>
                <w:bCs/>
                <w:sz w:val="20"/>
                <w:szCs w:val="20"/>
              </w:rPr>
              <w:t>Keterangan</w:t>
            </w:r>
          </w:p>
        </w:tc>
      </w:tr>
      <w:tr w14:paraId="2DCCC66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627" w:type="dxa"/>
          </w:tcPr>
          <w:p w14:paraId="6930153C">
            <w:pPr>
              <w:pStyle w:val="56"/>
              <w:spacing w:after="0" w:line="240" w:lineRule="auto"/>
              <w:ind w:left="0"/>
              <w:rPr>
                <w:i/>
                <w:iCs/>
                <w:sz w:val="20"/>
                <w:szCs w:val="20"/>
              </w:rPr>
            </w:pPr>
            <w:r>
              <w:rPr>
                <w:i/>
                <w:iCs/>
                <w:sz w:val="20"/>
                <w:szCs w:val="20"/>
              </w:rPr>
              <w:t>Mental Accounting</w:t>
            </w:r>
          </w:p>
        </w:tc>
        <w:tc>
          <w:tcPr>
            <w:tcW w:w="1488" w:type="dxa"/>
          </w:tcPr>
          <w:p w14:paraId="74AB8D2A">
            <w:pPr>
              <w:pStyle w:val="56"/>
              <w:spacing w:after="0" w:line="240" w:lineRule="auto"/>
              <w:ind w:left="0"/>
              <w:rPr>
                <w:sz w:val="20"/>
                <w:szCs w:val="20"/>
              </w:rPr>
            </w:pPr>
            <w:r>
              <w:rPr>
                <w:sz w:val="20"/>
                <w:szCs w:val="20"/>
              </w:rPr>
              <w:t>0.607</w:t>
            </w:r>
          </w:p>
        </w:tc>
        <w:tc>
          <w:tcPr>
            <w:tcW w:w="1660" w:type="dxa"/>
          </w:tcPr>
          <w:p w14:paraId="74537373">
            <w:pPr>
              <w:pStyle w:val="56"/>
              <w:spacing w:after="0" w:line="240" w:lineRule="auto"/>
              <w:ind w:left="0"/>
              <w:rPr>
                <w:sz w:val="20"/>
                <w:szCs w:val="20"/>
              </w:rPr>
            </w:pPr>
            <w:r>
              <w:rPr>
                <w:sz w:val="20"/>
                <w:szCs w:val="20"/>
              </w:rPr>
              <w:t>0,05</w:t>
            </w:r>
          </w:p>
        </w:tc>
        <w:tc>
          <w:tcPr>
            <w:tcW w:w="2069" w:type="dxa"/>
          </w:tcPr>
          <w:p w14:paraId="4080F1E5">
            <w:pPr>
              <w:pStyle w:val="56"/>
              <w:spacing w:after="0" w:line="240" w:lineRule="auto"/>
              <w:ind w:left="0"/>
              <w:rPr>
                <w:sz w:val="20"/>
                <w:szCs w:val="20"/>
              </w:rPr>
            </w:pPr>
            <w:r>
              <w:rPr>
                <w:sz w:val="20"/>
                <w:szCs w:val="20"/>
              </w:rPr>
              <w:t>Tidak Terjadi Heteroskedastisitas</w:t>
            </w:r>
          </w:p>
        </w:tc>
      </w:tr>
      <w:tr w14:paraId="052A627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627" w:type="dxa"/>
          </w:tcPr>
          <w:p w14:paraId="23E4C3C0">
            <w:pPr>
              <w:pStyle w:val="56"/>
              <w:spacing w:after="0" w:line="240" w:lineRule="auto"/>
              <w:ind w:left="0"/>
              <w:rPr>
                <w:sz w:val="20"/>
                <w:szCs w:val="20"/>
              </w:rPr>
            </w:pPr>
            <w:r>
              <w:rPr>
                <w:sz w:val="20"/>
                <w:szCs w:val="20"/>
              </w:rPr>
              <w:t>Literasi Keuangan</w:t>
            </w:r>
          </w:p>
        </w:tc>
        <w:tc>
          <w:tcPr>
            <w:tcW w:w="1488" w:type="dxa"/>
          </w:tcPr>
          <w:p w14:paraId="1A365E2A">
            <w:pPr>
              <w:pStyle w:val="56"/>
              <w:spacing w:after="0" w:line="240" w:lineRule="auto"/>
              <w:ind w:left="0"/>
              <w:rPr>
                <w:sz w:val="20"/>
                <w:szCs w:val="20"/>
              </w:rPr>
            </w:pPr>
            <w:r>
              <w:rPr>
                <w:sz w:val="20"/>
                <w:szCs w:val="20"/>
              </w:rPr>
              <w:t>0,513</w:t>
            </w:r>
          </w:p>
        </w:tc>
        <w:tc>
          <w:tcPr>
            <w:tcW w:w="1660" w:type="dxa"/>
          </w:tcPr>
          <w:p w14:paraId="32C73AB0">
            <w:pPr>
              <w:pStyle w:val="56"/>
              <w:spacing w:after="0" w:line="240" w:lineRule="auto"/>
              <w:ind w:left="0"/>
              <w:rPr>
                <w:sz w:val="20"/>
                <w:szCs w:val="20"/>
              </w:rPr>
            </w:pPr>
            <w:r>
              <w:rPr>
                <w:sz w:val="20"/>
                <w:szCs w:val="20"/>
              </w:rPr>
              <w:t>0,05</w:t>
            </w:r>
          </w:p>
        </w:tc>
        <w:tc>
          <w:tcPr>
            <w:tcW w:w="2069" w:type="dxa"/>
          </w:tcPr>
          <w:p w14:paraId="20234C14">
            <w:pPr>
              <w:pStyle w:val="56"/>
              <w:spacing w:after="0" w:line="240" w:lineRule="auto"/>
              <w:ind w:left="0"/>
              <w:rPr>
                <w:sz w:val="20"/>
                <w:szCs w:val="20"/>
              </w:rPr>
            </w:pPr>
            <w:r>
              <w:rPr>
                <w:sz w:val="20"/>
                <w:szCs w:val="20"/>
              </w:rPr>
              <w:t>Tidak Terjadi Heteroskedastisitas</w:t>
            </w:r>
          </w:p>
        </w:tc>
      </w:tr>
      <w:tr w14:paraId="5B8D1F4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627" w:type="dxa"/>
          </w:tcPr>
          <w:p w14:paraId="460F9EAF">
            <w:pPr>
              <w:pStyle w:val="56"/>
              <w:spacing w:after="0" w:line="240" w:lineRule="auto"/>
              <w:ind w:left="0"/>
              <w:rPr>
                <w:sz w:val="20"/>
                <w:szCs w:val="20"/>
              </w:rPr>
            </w:pPr>
            <w:r>
              <w:rPr>
                <w:sz w:val="20"/>
                <w:szCs w:val="20"/>
              </w:rPr>
              <w:t>Inklusi Keuangan</w:t>
            </w:r>
          </w:p>
        </w:tc>
        <w:tc>
          <w:tcPr>
            <w:tcW w:w="1488" w:type="dxa"/>
          </w:tcPr>
          <w:p w14:paraId="60476F4C">
            <w:pPr>
              <w:pStyle w:val="56"/>
              <w:spacing w:after="0" w:line="240" w:lineRule="auto"/>
              <w:ind w:left="0"/>
              <w:rPr>
                <w:sz w:val="20"/>
                <w:szCs w:val="20"/>
              </w:rPr>
            </w:pPr>
            <w:r>
              <w:rPr>
                <w:sz w:val="20"/>
                <w:szCs w:val="20"/>
              </w:rPr>
              <w:t>0,949</w:t>
            </w:r>
          </w:p>
        </w:tc>
        <w:tc>
          <w:tcPr>
            <w:tcW w:w="1660" w:type="dxa"/>
          </w:tcPr>
          <w:p w14:paraId="2F859AA4">
            <w:pPr>
              <w:pStyle w:val="56"/>
              <w:spacing w:after="0" w:line="240" w:lineRule="auto"/>
              <w:ind w:left="0"/>
              <w:rPr>
                <w:sz w:val="20"/>
                <w:szCs w:val="20"/>
              </w:rPr>
            </w:pPr>
            <w:r>
              <w:rPr>
                <w:sz w:val="20"/>
                <w:szCs w:val="20"/>
              </w:rPr>
              <w:t>0,05</w:t>
            </w:r>
          </w:p>
        </w:tc>
        <w:tc>
          <w:tcPr>
            <w:tcW w:w="2069" w:type="dxa"/>
          </w:tcPr>
          <w:p w14:paraId="338A4BDD">
            <w:pPr>
              <w:pStyle w:val="56"/>
              <w:spacing w:after="0" w:line="240" w:lineRule="auto"/>
              <w:ind w:left="0"/>
              <w:rPr>
                <w:sz w:val="20"/>
                <w:szCs w:val="20"/>
              </w:rPr>
            </w:pPr>
            <w:r>
              <w:rPr>
                <w:sz w:val="20"/>
                <w:szCs w:val="20"/>
              </w:rPr>
              <w:t>Tidak Terjadi Heteroskedastisitas</w:t>
            </w:r>
          </w:p>
        </w:tc>
      </w:tr>
    </w:tbl>
    <w:p w14:paraId="1C439EAE">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center"/>
        <w:rPr>
          <w:color w:val="000000"/>
        </w:rPr>
      </w:pPr>
    </w:p>
    <w:p w14:paraId="292D8861">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both"/>
        <w:rPr>
          <w:color w:val="000000"/>
        </w:rPr>
      </w:pPr>
      <w:r>
        <w:rPr>
          <w:color w:val="000000"/>
        </w:rPr>
        <w:t>Dari tabel 4.5 di atas, dapat diketahui bahwa nilai signifikan dari setiap variabel bernilai &gt; 0,05 sehingga dapat disimpulkan bahwa tidak terdapat gejala heteroskedastisitas.</w:t>
      </w:r>
    </w:p>
    <w:p w14:paraId="039817FB">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center"/>
        <w:rPr>
          <w:color w:val="000000"/>
          <w:sz w:val="20"/>
          <w:szCs w:val="20"/>
        </w:rPr>
      </w:pPr>
      <w:r>
        <w:rPr>
          <w:color w:val="000000"/>
          <w:sz w:val="20"/>
          <w:szCs w:val="20"/>
        </w:rPr>
        <w:t>Tabel 7. Uji Regresi Linear Berganda</w:t>
      </w:r>
    </w:p>
    <w:tbl>
      <w:tblPr>
        <w:tblStyle w:val="18"/>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063"/>
        <w:gridCol w:w="1087"/>
      </w:tblGrid>
      <w:tr w14:paraId="320D97C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57" w:hRule="atLeast"/>
          <w:jc w:val="center"/>
        </w:trPr>
        <w:tc>
          <w:tcPr>
            <w:tcW w:w="2063" w:type="dxa"/>
          </w:tcPr>
          <w:p w14:paraId="59A681A9">
            <w:pPr>
              <w:pStyle w:val="56"/>
              <w:spacing w:after="0" w:line="240" w:lineRule="auto"/>
              <w:ind w:left="0"/>
              <w:rPr>
                <w:b/>
                <w:bCs/>
                <w:sz w:val="20"/>
                <w:szCs w:val="20"/>
              </w:rPr>
            </w:pPr>
            <w:r>
              <w:rPr>
                <w:b/>
                <w:bCs/>
                <w:sz w:val="20"/>
                <w:szCs w:val="20"/>
              </w:rPr>
              <w:t>Variabel</w:t>
            </w:r>
          </w:p>
        </w:tc>
        <w:tc>
          <w:tcPr>
            <w:tcW w:w="1087" w:type="dxa"/>
          </w:tcPr>
          <w:p w14:paraId="63C9068F">
            <w:pPr>
              <w:pStyle w:val="56"/>
              <w:spacing w:after="0" w:line="240" w:lineRule="auto"/>
              <w:ind w:left="0"/>
              <w:rPr>
                <w:b/>
                <w:bCs/>
                <w:sz w:val="20"/>
                <w:szCs w:val="20"/>
              </w:rPr>
            </w:pPr>
            <w:r>
              <w:rPr>
                <w:b/>
                <w:bCs/>
                <w:sz w:val="20"/>
                <w:szCs w:val="20"/>
              </w:rPr>
              <w:t>B</w:t>
            </w:r>
          </w:p>
        </w:tc>
      </w:tr>
      <w:tr w14:paraId="3B4A949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57" w:hRule="atLeast"/>
          <w:jc w:val="center"/>
        </w:trPr>
        <w:tc>
          <w:tcPr>
            <w:tcW w:w="2063" w:type="dxa"/>
          </w:tcPr>
          <w:p w14:paraId="4E859D57">
            <w:pPr>
              <w:pStyle w:val="56"/>
              <w:spacing w:after="0" w:line="240" w:lineRule="auto"/>
              <w:ind w:left="0"/>
              <w:rPr>
                <w:sz w:val="20"/>
                <w:szCs w:val="20"/>
              </w:rPr>
            </w:pPr>
            <w:r>
              <w:rPr>
                <w:sz w:val="20"/>
                <w:szCs w:val="20"/>
              </w:rPr>
              <w:t>(Costant)</w:t>
            </w:r>
          </w:p>
        </w:tc>
        <w:tc>
          <w:tcPr>
            <w:tcW w:w="1087" w:type="dxa"/>
          </w:tcPr>
          <w:p w14:paraId="76F1F4D5">
            <w:pPr>
              <w:pStyle w:val="56"/>
              <w:spacing w:after="0" w:line="240" w:lineRule="auto"/>
              <w:ind w:left="0"/>
              <w:rPr>
                <w:sz w:val="20"/>
                <w:szCs w:val="20"/>
              </w:rPr>
            </w:pPr>
            <w:r>
              <w:rPr>
                <w:sz w:val="20"/>
                <w:szCs w:val="20"/>
              </w:rPr>
              <w:t>5,346</w:t>
            </w:r>
          </w:p>
        </w:tc>
      </w:tr>
      <w:tr w14:paraId="4C2342E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8" w:hRule="atLeast"/>
          <w:jc w:val="center"/>
        </w:trPr>
        <w:tc>
          <w:tcPr>
            <w:tcW w:w="2063" w:type="dxa"/>
          </w:tcPr>
          <w:p w14:paraId="3733B049">
            <w:pPr>
              <w:pStyle w:val="56"/>
              <w:spacing w:after="0" w:line="240" w:lineRule="auto"/>
              <w:ind w:left="0"/>
              <w:rPr>
                <w:i/>
                <w:iCs/>
                <w:sz w:val="20"/>
                <w:szCs w:val="20"/>
              </w:rPr>
            </w:pPr>
            <w:r>
              <w:rPr>
                <w:i/>
                <w:iCs/>
                <w:sz w:val="20"/>
                <w:szCs w:val="20"/>
              </w:rPr>
              <w:t>Mental Accounting</w:t>
            </w:r>
          </w:p>
        </w:tc>
        <w:tc>
          <w:tcPr>
            <w:tcW w:w="1087" w:type="dxa"/>
          </w:tcPr>
          <w:p w14:paraId="54FEC047">
            <w:pPr>
              <w:pStyle w:val="56"/>
              <w:spacing w:after="0" w:line="240" w:lineRule="auto"/>
              <w:ind w:left="0"/>
              <w:rPr>
                <w:sz w:val="20"/>
                <w:szCs w:val="20"/>
              </w:rPr>
            </w:pPr>
            <w:r>
              <w:rPr>
                <w:sz w:val="20"/>
                <w:szCs w:val="20"/>
              </w:rPr>
              <w:t>0,701</w:t>
            </w:r>
          </w:p>
        </w:tc>
      </w:tr>
      <w:tr w14:paraId="2667EE0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57" w:hRule="atLeast"/>
          <w:jc w:val="center"/>
        </w:trPr>
        <w:tc>
          <w:tcPr>
            <w:tcW w:w="2063" w:type="dxa"/>
          </w:tcPr>
          <w:p w14:paraId="7FC97878">
            <w:pPr>
              <w:pStyle w:val="56"/>
              <w:spacing w:after="0" w:line="240" w:lineRule="auto"/>
              <w:ind w:left="0"/>
              <w:rPr>
                <w:sz w:val="20"/>
                <w:szCs w:val="20"/>
              </w:rPr>
            </w:pPr>
            <w:r>
              <w:rPr>
                <w:sz w:val="20"/>
                <w:szCs w:val="20"/>
              </w:rPr>
              <w:t>Literasi Keuangan</w:t>
            </w:r>
          </w:p>
        </w:tc>
        <w:tc>
          <w:tcPr>
            <w:tcW w:w="1087" w:type="dxa"/>
          </w:tcPr>
          <w:p w14:paraId="6F1F7F6A">
            <w:pPr>
              <w:pStyle w:val="56"/>
              <w:spacing w:after="0" w:line="240" w:lineRule="auto"/>
              <w:ind w:left="0"/>
              <w:rPr>
                <w:sz w:val="20"/>
                <w:szCs w:val="20"/>
              </w:rPr>
            </w:pPr>
            <w:r>
              <w:rPr>
                <w:sz w:val="20"/>
                <w:szCs w:val="20"/>
              </w:rPr>
              <w:t>0,281</w:t>
            </w:r>
          </w:p>
        </w:tc>
      </w:tr>
      <w:tr w14:paraId="73C0F21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57" w:hRule="atLeast"/>
          <w:jc w:val="center"/>
        </w:trPr>
        <w:tc>
          <w:tcPr>
            <w:tcW w:w="2063" w:type="dxa"/>
          </w:tcPr>
          <w:p w14:paraId="7C2391BA">
            <w:pPr>
              <w:pStyle w:val="56"/>
              <w:spacing w:after="0" w:line="240" w:lineRule="auto"/>
              <w:ind w:left="0"/>
              <w:rPr>
                <w:sz w:val="20"/>
                <w:szCs w:val="20"/>
              </w:rPr>
            </w:pPr>
            <w:r>
              <w:rPr>
                <w:sz w:val="20"/>
                <w:szCs w:val="20"/>
              </w:rPr>
              <w:t>Inklusi Keuangan</w:t>
            </w:r>
          </w:p>
        </w:tc>
        <w:tc>
          <w:tcPr>
            <w:tcW w:w="1087" w:type="dxa"/>
          </w:tcPr>
          <w:p w14:paraId="7B9A9131">
            <w:pPr>
              <w:spacing w:after="0" w:line="240" w:lineRule="auto"/>
              <w:rPr>
                <w:sz w:val="20"/>
                <w:szCs w:val="20"/>
              </w:rPr>
            </w:pPr>
            <w:r>
              <w:rPr>
                <w:sz w:val="20"/>
                <w:szCs w:val="20"/>
              </w:rPr>
              <w:t>-0,237</w:t>
            </w:r>
          </w:p>
        </w:tc>
      </w:tr>
    </w:tbl>
    <w:p w14:paraId="659913F9">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center"/>
        <w:rPr>
          <w:color w:val="000000"/>
        </w:rPr>
      </w:pPr>
    </w:p>
    <w:p w14:paraId="2A1A917E">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rPr>
          <w:color w:val="000000"/>
        </w:rPr>
      </w:pPr>
      <w:r>
        <w:rPr>
          <w:color w:val="000000"/>
        </w:rPr>
        <w:t xml:space="preserve">Berdasarkan tabel 4.8 di atas dapat dilihat persamaan regresi linear berganda sebagai berikut:  </w:t>
      </w:r>
    </w:p>
    <w:p w14:paraId="28A8966F">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rPr>
          <w:color w:val="000000"/>
        </w:rPr>
      </w:pPr>
      <w:r>
        <w:rPr>
          <w:color w:val="000000"/>
        </w:rPr>
        <w:t>Y= 5,346 + 0,701X1 + 0,281X2 + (-0,237)X3</w:t>
      </w:r>
    </w:p>
    <w:p w14:paraId="324AB469">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center"/>
        <w:rPr>
          <w:color w:val="000000"/>
          <w:sz w:val="20"/>
          <w:szCs w:val="20"/>
        </w:rPr>
      </w:pPr>
      <w:r>
        <w:rPr>
          <w:color w:val="000000"/>
          <w:sz w:val="20"/>
          <w:szCs w:val="20"/>
        </w:rPr>
        <w:t>Tabel 8. Uji T</w:t>
      </w:r>
    </w:p>
    <w:p w14:paraId="7B9F0200">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center"/>
        <w:rPr>
          <w:color w:val="000000"/>
        </w:rPr>
      </w:pPr>
      <w:r>
        <w:drawing>
          <wp:inline distT="0" distB="0" distL="0" distR="0">
            <wp:extent cx="3086100" cy="12147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3">
                      <a:extLst>
                        <a:ext uri="{28A0092B-C50C-407E-A947-70E740481C1C}">
                          <a14:useLocalDpi xmlns:a14="http://schemas.microsoft.com/office/drawing/2010/main" val="0"/>
                        </a:ext>
                      </a:extLst>
                    </a:blip>
                    <a:srcRect t="19614" b="11725"/>
                    <a:stretch>
                      <a:fillRect/>
                    </a:stretch>
                  </pic:blipFill>
                  <pic:spPr>
                    <a:xfrm>
                      <a:off x="0" y="0"/>
                      <a:ext cx="3107201" cy="1223505"/>
                    </a:xfrm>
                    <a:prstGeom prst="rect">
                      <a:avLst/>
                    </a:prstGeom>
                    <a:noFill/>
                    <a:ln>
                      <a:noFill/>
                    </a:ln>
                  </pic:spPr>
                </pic:pic>
              </a:graphicData>
            </a:graphic>
          </wp:inline>
        </w:drawing>
      </w:r>
    </w:p>
    <w:p w14:paraId="6191CCDE">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jc w:val="both"/>
        <w:rPr>
          <w:lang w:eastAsia="zh-CN"/>
        </w:rPr>
      </w:pPr>
      <w:r>
        <w:rPr>
          <w:lang w:val="id-ID" w:eastAsia="zh-CN"/>
        </w:rPr>
        <w:tab/>
      </w:r>
      <w:r>
        <w:rPr>
          <w:lang w:eastAsia="zh-CN"/>
        </w:rPr>
        <w:t>Pada hasil tabel 8 menunjukkan bahwa hasil dari pengujian variabel Mental Accounting (X1) terhadap perilaku keuangan menunjukkan nilai</w:t>
      </w:r>
      <w:r>
        <w:t xml:space="preserve"> </w:t>
      </w:r>
      <w:r>
        <w:rPr>
          <w:lang w:eastAsia="zh-CN"/>
        </w:rPr>
        <w:t>t hitung 5,932 &gt; t tabel 1,65882 serta nilai signifikansi 0,000 &lt; 0,05 ini membuktikan bahwa mental accounting berpengaruh positif terhadap perilaku keuangan. Kemudian, hasil pengujian variabel Literasi Keuangan (X2) terhadap perilaku keuangan menunjukkan hasil nilai t hitung 2,856 &gt; t tabel 1,65882 dan nilai signifikansi sebesar 0,005 &lt; 0,05 ini menunjukkan bahwa literasi keuangan berpengaruh positif terhadap perilaku keuangan sedangkan hasil pengujian variabel Inklusi Keuangan (X3) terhadap perilaku keuangan menunjukkan nilai</w:t>
      </w:r>
      <w:r>
        <w:t xml:space="preserve"> </w:t>
      </w:r>
      <w:r>
        <w:rPr>
          <w:lang w:eastAsia="zh-CN"/>
        </w:rPr>
        <w:t>t hitung - 2,156 &lt; t tabel 1,65882 dengan nilai signifikansi 0,033 ini menunjukkan hasil bahwa inklusi keuangan berpengaruh negative terhadap Perilaku Keuangan.</w:t>
      </w:r>
    </w:p>
    <w:p w14:paraId="3E7489AA">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center"/>
        <w:rPr>
          <w:color w:val="000000"/>
          <w:sz w:val="20"/>
          <w:szCs w:val="20"/>
        </w:rPr>
      </w:pPr>
      <w:r>
        <w:rPr>
          <w:color w:val="000000"/>
          <w:sz w:val="20"/>
          <w:szCs w:val="20"/>
        </w:rPr>
        <w:t>Tabel 9. Uji F</w:t>
      </w:r>
    </w:p>
    <w:tbl>
      <w:tblPr>
        <w:tblStyle w:val="18"/>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671"/>
        <w:gridCol w:w="1472"/>
        <w:gridCol w:w="1082"/>
        <w:gridCol w:w="1394"/>
        <w:gridCol w:w="1332"/>
        <w:gridCol w:w="1049"/>
      </w:tblGrid>
      <w:tr w14:paraId="5D500A1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93" w:hRule="atLeast"/>
          <w:jc w:val="center"/>
        </w:trPr>
        <w:tc>
          <w:tcPr>
            <w:tcW w:w="1547" w:type="dxa"/>
          </w:tcPr>
          <w:p w14:paraId="3B55804C">
            <w:pPr>
              <w:tabs>
                <w:tab w:val="left" w:pos="288"/>
              </w:tabs>
              <w:spacing w:after="0" w:line="240" w:lineRule="auto"/>
              <w:ind w:right="566"/>
              <w:jc w:val="center"/>
              <w:rPr>
                <w:b/>
                <w:bCs/>
                <w:color w:val="000000"/>
                <w:sz w:val="20"/>
                <w:szCs w:val="20"/>
              </w:rPr>
            </w:pPr>
            <w:r>
              <w:rPr>
                <w:b/>
                <w:bCs/>
                <w:color w:val="000000"/>
                <w:sz w:val="20"/>
                <w:szCs w:val="20"/>
              </w:rPr>
              <w:t>Model</w:t>
            </w:r>
          </w:p>
        </w:tc>
        <w:tc>
          <w:tcPr>
            <w:tcW w:w="1327" w:type="dxa"/>
          </w:tcPr>
          <w:p w14:paraId="5A27B37B">
            <w:pPr>
              <w:tabs>
                <w:tab w:val="left" w:pos="288"/>
              </w:tabs>
              <w:spacing w:after="0" w:line="240" w:lineRule="auto"/>
              <w:ind w:right="566"/>
              <w:jc w:val="center"/>
              <w:rPr>
                <w:b/>
                <w:bCs/>
                <w:color w:val="000000"/>
                <w:sz w:val="20"/>
                <w:szCs w:val="20"/>
              </w:rPr>
            </w:pPr>
            <w:r>
              <w:rPr>
                <w:b/>
                <w:bCs/>
                <w:color w:val="000000"/>
                <w:sz w:val="20"/>
                <w:szCs w:val="20"/>
              </w:rPr>
              <w:t>Sum of Squares</w:t>
            </w:r>
          </w:p>
        </w:tc>
        <w:tc>
          <w:tcPr>
            <w:tcW w:w="1003" w:type="dxa"/>
          </w:tcPr>
          <w:p w14:paraId="401D67A6">
            <w:pPr>
              <w:tabs>
                <w:tab w:val="left" w:pos="288"/>
              </w:tabs>
              <w:spacing w:after="0" w:line="240" w:lineRule="auto"/>
              <w:ind w:right="566"/>
              <w:jc w:val="center"/>
              <w:rPr>
                <w:b/>
                <w:bCs/>
                <w:color w:val="000000"/>
                <w:sz w:val="20"/>
                <w:szCs w:val="20"/>
              </w:rPr>
            </w:pPr>
            <w:r>
              <w:rPr>
                <w:b/>
                <w:bCs/>
                <w:color w:val="000000"/>
                <w:sz w:val="20"/>
                <w:szCs w:val="20"/>
              </w:rPr>
              <w:t>df</w:t>
            </w:r>
          </w:p>
        </w:tc>
        <w:tc>
          <w:tcPr>
            <w:tcW w:w="1239" w:type="dxa"/>
          </w:tcPr>
          <w:p w14:paraId="431E2FB5">
            <w:pPr>
              <w:tabs>
                <w:tab w:val="left" w:pos="288"/>
              </w:tabs>
              <w:spacing w:after="0" w:line="240" w:lineRule="auto"/>
              <w:ind w:right="566"/>
              <w:jc w:val="center"/>
              <w:rPr>
                <w:b/>
                <w:bCs/>
                <w:color w:val="000000"/>
                <w:sz w:val="20"/>
                <w:szCs w:val="20"/>
              </w:rPr>
            </w:pPr>
            <w:r>
              <w:rPr>
                <w:b/>
                <w:bCs/>
                <w:color w:val="000000"/>
                <w:sz w:val="20"/>
                <w:szCs w:val="20"/>
              </w:rPr>
              <w:t>Mean Square</w:t>
            </w:r>
          </w:p>
        </w:tc>
        <w:tc>
          <w:tcPr>
            <w:tcW w:w="1234" w:type="dxa"/>
          </w:tcPr>
          <w:p w14:paraId="78191BE0">
            <w:pPr>
              <w:tabs>
                <w:tab w:val="left" w:pos="288"/>
              </w:tabs>
              <w:spacing w:after="0" w:line="240" w:lineRule="auto"/>
              <w:ind w:right="566"/>
              <w:jc w:val="center"/>
              <w:rPr>
                <w:b/>
                <w:bCs/>
                <w:color w:val="000000"/>
                <w:sz w:val="20"/>
                <w:szCs w:val="20"/>
              </w:rPr>
            </w:pPr>
            <w:r>
              <w:rPr>
                <w:b/>
                <w:bCs/>
                <w:color w:val="000000"/>
                <w:sz w:val="20"/>
                <w:szCs w:val="20"/>
              </w:rPr>
              <w:t>F</w:t>
            </w:r>
          </w:p>
        </w:tc>
        <w:tc>
          <w:tcPr>
            <w:tcW w:w="971" w:type="dxa"/>
          </w:tcPr>
          <w:p w14:paraId="764F5A81">
            <w:pPr>
              <w:tabs>
                <w:tab w:val="left" w:pos="288"/>
              </w:tabs>
              <w:spacing w:after="0" w:line="240" w:lineRule="auto"/>
              <w:ind w:right="566"/>
              <w:jc w:val="center"/>
              <w:rPr>
                <w:b/>
                <w:bCs/>
                <w:color w:val="000000"/>
                <w:sz w:val="20"/>
                <w:szCs w:val="20"/>
              </w:rPr>
            </w:pPr>
            <w:r>
              <w:rPr>
                <w:b/>
                <w:bCs/>
                <w:color w:val="000000"/>
                <w:sz w:val="20"/>
                <w:szCs w:val="20"/>
              </w:rPr>
              <w:t>Sig</w:t>
            </w:r>
          </w:p>
        </w:tc>
      </w:tr>
      <w:tr w14:paraId="2AB6C60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96" w:hRule="atLeast"/>
          <w:jc w:val="center"/>
        </w:trPr>
        <w:tc>
          <w:tcPr>
            <w:tcW w:w="1547" w:type="dxa"/>
          </w:tcPr>
          <w:p w14:paraId="629EE3BF">
            <w:pPr>
              <w:tabs>
                <w:tab w:val="left" w:pos="288"/>
              </w:tabs>
              <w:spacing w:after="0" w:line="240" w:lineRule="auto"/>
              <w:ind w:right="566"/>
              <w:jc w:val="center"/>
              <w:rPr>
                <w:color w:val="000000"/>
                <w:sz w:val="20"/>
                <w:szCs w:val="20"/>
              </w:rPr>
            </w:pPr>
            <w:r>
              <w:rPr>
                <w:color w:val="000000"/>
                <w:sz w:val="20"/>
                <w:szCs w:val="20"/>
              </w:rPr>
              <w:t>Regression</w:t>
            </w:r>
          </w:p>
        </w:tc>
        <w:tc>
          <w:tcPr>
            <w:tcW w:w="1327" w:type="dxa"/>
          </w:tcPr>
          <w:p w14:paraId="049411B9">
            <w:pPr>
              <w:tabs>
                <w:tab w:val="left" w:pos="288"/>
              </w:tabs>
              <w:spacing w:after="0" w:line="240" w:lineRule="auto"/>
              <w:ind w:right="566"/>
              <w:jc w:val="center"/>
              <w:rPr>
                <w:color w:val="000000"/>
                <w:sz w:val="20"/>
                <w:szCs w:val="20"/>
              </w:rPr>
            </w:pPr>
            <w:r>
              <w:rPr>
                <w:color w:val="000000"/>
                <w:sz w:val="20"/>
                <w:szCs w:val="20"/>
              </w:rPr>
              <w:t>190.569</w:t>
            </w:r>
          </w:p>
        </w:tc>
        <w:tc>
          <w:tcPr>
            <w:tcW w:w="1003" w:type="dxa"/>
          </w:tcPr>
          <w:p w14:paraId="3F7898EF">
            <w:pPr>
              <w:tabs>
                <w:tab w:val="left" w:pos="288"/>
              </w:tabs>
              <w:spacing w:after="0" w:line="240" w:lineRule="auto"/>
              <w:ind w:right="566"/>
              <w:jc w:val="center"/>
              <w:rPr>
                <w:color w:val="000000"/>
                <w:sz w:val="20"/>
                <w:szCs w:val="20"/>
              </w:rPr>
            </w:pPr>
            <w:r>
              <w:rPr>
                <w:color w:val="000000"/>
                <w:sz w:val="20"/>
                <w:szCs w:val="20"/>
              </w:rPr>
              <w:t>3</w:t>
            </w:r>
          </w:p>
        </w:tc>
        <w:tc>
          <w:tcPr>
            <w:tcW w:w="1239" w:type="dxa"/>
          </w:tcPr>
          <w:p w14:paraId="108FE18B">
            <w:pPr>
              <w:tabs>
                <w:tab w:val="left" w:pos="288"/>
              </w:tabs>
              <w:spacing w:after="0" w:line="240" w:lineRule="auto"/>
              <w:ind w:right="566"/>
              <w:jc w:val="center"/>
              <w:rPr>
                <w:color w:val="000000"/>
                <w:sz w:val="20"/>
                <w:szCs w:val="20"/>
              </w:rPr>
            </w:pPr>
            <w:r>
              <w:rPr>
                <w:color w:val="000000"/>
                <w:sz w:val="20"/>
                <w:szCs w:val="20"/>
              </w:rPr>
              <w:t>63,523</w:t>
            </w:r>
          </w:p>
        </w:tc>
        <w:tc>
          <w:tcPr>
            <w:tcW w:w="1234" w:type="dxa"/>
          </w:tcPr>
          <w:p w14:paraId="7ACC475E">
            <w:pPr>
              <w:tabs>
                <w:tab w:val="left" w:pos="288"/>
              </w:tabs>
              <w:spacing w:after="0" w:line="240" w:lineRule="auto"/>
              <w:ind w:right="566"/>
              <w:jc w:val="center"/>
              <w:rPr>
                <w:color w:val="000000"/>
                <w:sz w:val="20"/>
                <w:szCs w:val="20"/>
              </w:rPr>
            </w:pPr>
            <w:r>
              <w:rPr>
                <w:color w:val="000000"/>
                <w:sz w:val="20"/>
                <w:szCs w:val="20"/>
              </w:rPr>
              <w:t>25,859</w:t>
            </w:r>
          </w:p>
        </w:tc>
        <w:tc>
          <w:tcPr>
            <w:tcW w:w="971" w:type="dxa"/>
          </w:tcPr>
          <w:p w14:paraId="09DAD1FE">
            <w:pPr>
              <w:pStyle w:val="60"/>
              <w:jc w:val="center"/>
              <w:rPr>
                <w:sz w:val="20"/>
                <w:szCs w:val="20"/>
              </w:rPr>
            </w:pPr>
            <w:r>
              <w:rPr>
                <w:sz w:val="20"/>
                <w:szCs w:val="20"/>
              </w:rPr>
              <w:t xml:space="preserve">,000b. </w:t>
            </w:r>
          </w:p>
        </w:tc>
      </w:tr>
      <w:tr w14:paraId="20DBC35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96" w:hRule="atLeast"/>
          <w:jc w:val="center"/>
        </w:trPr>
        <w:tc>
          <w:tcPr>
            <w:tcW w:w="1547" w:type="dxa"/>
          </w:tcPr>
          <w:p w14:paraId="40D7E2B2">
            <w:pPr>
              <w:tabs>
                <w:tab w:val="left" w:pos="288"/>
              </w:tabs>
              <w:spacing w:after="0" w:line="240" w:lineRule="auto"/>
              <w:ind w:right="566"/>
              <w:jc w:val="center"/>
              <w:rPr>
                <w:color w:val="000000"/>
                <w:sz w:val="20"/>
                <w:szCs w:val="20"/>
              </w:rPr>
            </w:pPr>
            <w:r>
              <w:rPr>
                <w:color w:val="000000"/>
                <w:sz w:val="20"/>
                <w:szCs w:val="20"/>
              </w:rPr>
              <w:t>Residual</w:t>
            </w:r>
          </w:p>
        </w:tc>
        <w:tc>
          <w:tcPr>
            <w:tcW w:w="1327" w:type="dxa"/>
          </w:tcPr>
          <w:p w14:paraId="35208C93">
            <w:pPr>
              <w:tabs>
                <w:tab w:val="left" w:pos="288"/>
              </w:tabs>
              <w:spacing w:after="0" w:line="240" w:lineRule="auto"/>
              <w:ind w:right="566"/>
              <w:jc w:val="center"/>
              <w:rPr>
                <w:color w:val="000000"/>
                <w:sz w:val="20"/>
                <w:szCs w:val="20"/>
              </w:rPr>
            </w:pPr>
            <w:r>
              <w:rPr>
                <w:color w:val="000000"/>
                <w:sz w:val="20"/>
                <w:szCs w:val="20"/>
              </w:rPr>
              <w:t>270,212</w:t>
            </w:r>
          </w:p>
        </w:tc>
        <w:tc>
          <w:tcPr>
            <w:tcW w:w="1003" w:type="dxa"/>
          </w:tcPr>
          <w:p w14:paraId="3CBDA8F0">
            <w:pPr>
              <w:tabs>
                <w:tab w:val="left" w:pos="288"/>
              </w:tabs>
              <w:spacing w:after="0" w:line="240" w:lineRule="auto"/>
              <w:ind w:right="566"/>
              <w:jc w:val="center"/>
              <w:rPr>
                <w:color w:val="000000"/>
                <w:sz w:val="20"/>
                <w:szCs w:val="20"/>
              </w:rPr>
            </w:pPr>
            <w:r>
              <w:rPr>
                <w:color w:val="000000"/>
                <w:sz w:val="20"/>
                <w:szCs w:val="20"/>
              </w:rPr>
              <w:t>110</w:t>
            </w:r>
          </w:p>
        </w:tc>
        <w:tc>
          <w:tcPr>
            <w:tcW w:w="1239" w:type="dxa"/>
          </w:tcPr>
          <w:p w14:paraId="5306C83E">
            <w:pPr>
              <w:tabs>
                <w:tab w:val="left" w:pos="288"/>
              </w:tabs>
              <w:spacing w:after="0" w:line="240" w:lineRule="auto"/>
              <w:ind w:right="566"/>
              <w:jc w:val="center"/>
              <w:rPr>
                <w:color w:val="000000"/>
                <w:sz w:val="20"/>
                <w:szCs w:val="20"/>
              </w:rPr>
            </w:pPr>
            <w:r>
              <w:rPr>
                <w:color w:val="000000"/>
                <w:sz w:val="20"/>
                <w:szCs w:val="20"/>
              </w:rPr>
              <w:t>2,456</w:t>
            </w:r>
          </w:p>
        </w:tc>
        <w:tc>
          <w:tcPr>
            <w:tcW w:w="1234" w:type="dxa"/>
          </w:tcPr>
          <w:p w14:paraId="463CD02F">
            <w:pPr>
              <w:tabs>
                <w:tab w:val="left" w:pos="288"/>
              </w:tabs>
              <w:spacing w:after="0" w:line="240" w:lineRule="auto"/>
              <w:ind w:right="566"/>
              <w:jc w:val="center"/>
              <w:rPr>
                <w:color w:val="000000"/>
                <w:sz w:val="20"/>
                <w:szCs w:val="20"/>
              </w:rPr>
            </w:pPr>
          </w:p>
        </w:tc>
        <w:tc>
          <w:tcPr>
            <w:tcW w:w="971" w:type="dxa"/>
          </w:tcPr>
          <w:p w14:paraId="260B76DD">
            <w:pPr>
              <w:tabs>
                <w:tab w:val="left" w:pos="288"/>
              </w:tabs>
              <w:spacing w:after="0" w:line="240" w:lineRule="auto"/>
              <w:ind w:right="566"/>
              <w:jc w:val="center"/>
              <w:rPr>
                <w:color w:val="000000"/>
                <w:sz w:val="20"/>
                <w:szCs w:val="20"/>
              </w:rPr>
            </w:pPr>
          </w:p>
        </w:tc>
      </w:tr>
      <w:tr w14:paraId="7AAE125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82" w:hRule="atLeast"/>
          <w:jc w:val="center"/>
        </w:trPr>
        <w:tc>
          <w:tcPr>
            <w:tcW w:w="1547" w:type="dxa"/>
          </w:tcPr>
          <w:p w14:paraId="29E0DBC2">
            <w:pPr>
              <w:tabs>
                <w:tab w:val="left" w:pos="288"/>
              </w:tabs>
              <w:spacing w:after="0" w:line="240" w:lineRule="auto"/>
              <w:ind w:right="566"/>
              <w:jc w:val="center"/>
              <w:rPr>
                <w:color w:val="000000"/>
                <w:sz w:val="20"/>
                <w:szCs w:val="20"/>
              </w:rPr>
            </w:pPr>
            <w:r>
              <w:rPr>
                <w:color w:val="000000"/>
                <w:sz w:val="20"/>
                <w:szCs w:val="20"/>
              </w:rPr>
              <w:t>Total</w:t>
            </w:r>
          </w:p>
        </w:tc>
        <w:tc>
          <w:tcPr>
            <w:tcW w:w="1327" w:type="dxa"/>
          </w:tcPr>
          <w:p w14:paraId="325B7972">
            <w:pPr>
              <w:tabs>
                <w:tab w:val="left" w:pos="288"/>
              </w:tabs>
              <w:spacing w:after="0" w:line="240" w:lineRule="auto"/>
              <w:ind w:right="566"/>
              <w:jc w:val="center"/>
              <w:rPr>
                <w:color w:val="000000"/>
                <w:sz w:val="20"/>
                <w:szCs w:val="20"/>
              </w:rPr>
            </w:pPr>
            <w:r>
              <w:rPr>
                <w:color w:val="000000"/>
                <w:sz w:val="20"/>
                <w:szCs w:val="20"/>
              </w:rPr>
              <w:t>460,781</w:t>
            </w:r>
          </w:p>
        </w:tc>
        <w:tc>
          <w:tcPr>
            <w:tcW w:w="1003" w:type="dxa"/>
          </w:tcPr>
          <w:p w14:paraId="7A4EC754">
            <w:pPr>
              <w:tabs>
                <w:tab w:val="left" w:pos="288"/>
              </w:tabs>
              <w:spacing w:after="0" w:line="240" w:lineRule="auto"/>
              <w:ind w:right="566"/>
              <w:jc w:val="center"/>
              <w:rPr>
                <w:color w:val="000000"/>
                <w:sz w:val="20"/>
                <w:szCs w:val="20"/>
              </w:rPr>
            </w:pPr>
            <w:r>
              <w:rPr>
                <w:color w:val="000000"/>
                <w:sz w:val="20"/>
                <w:szCs w:val="20"/>
              </w:rPr>
              <w:t>113</w:t>
            </w:r>
          </w:p>
        </w:tc>
        <w:tc>
          <w:tcPr>
            <w:tcW w:w="1239" w:type="dxa"/>
          </w:tcPr>
          <w:p w14:paraId="3B41D535">
            <w:pPr>
              <w:tabs>
                <w:tab w:val="left" w:pos="288"/>
              </w:tabs>
              <w:spacing w:after="0" w:line="240" w:lineRule="auto"/>
              <w:ind w:right="566"/>
              <w:jc w:val="center"/>
              <w:rPr>
                <w:color w:val="000000"/>
                <w:sz w:val="20"/>
                <w:szCs w:val="20"/>
              </w:rPr>
            </w:pPr>
          </w:p>
        </w:tc>
        <w:tc>
          <w:tcPr>
            <w:tcW w:w="1234" w:type="dxa"/>
          </w:tcPr>
          <w:p w14:paraId="679D171C">
            <w:pPr>
              <w:tabs>
                <w:tab w:val="left" w:pos="288"/>
              </w:tabs>
              <w:spacing w:after="0" w:line="240" w:lineRule="auto"/>
              <w:ind w:right="566"/>
              <w:jc w:val="center"/>
              <w:rPr>
                <w:color w:val="000000"/>
                <w:sz w:val="20"/>
                <w:szCs w:val="20"/>
              </w:rPr>
            </w:pPr>
          </w:p>
        </w:tc>
        <w:tc>
          <w:tcPr>
            <w:tcW w:w="971" w:type="dxa"/>
          </w:tcPr>
          <w:p w14:paraId="108C8A9B">
            <w:pPr>
              <w:tabs>
                <w:tab w:val="left" w:pos="288"/>
              </w:tabs>
              <w:spacing w:after="0" w:line="240" w:lineRule="auto"/>
              <w:ind w:right="566"/>
              <w:jc w:val="center"/>
              <w:rPr>
                <w:color w:val="000000"/>
                <w:sz w:val="20"/>
                <w:szCs w:val="20"/>
              </w:rPr>
            </w:pPr>
          </w:p>
        </w:tc>
      </w:tr>
    </w:tbl>
    <w:p w14:paraId="3861ABFE">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rPr>
          <w:color w:val="000000"/>
        </w:rPr>
      </w:pPr>
      <w:r>
        <w:rPr>
          <w:color w:val="000000"/>
        </w:rPr>
        <w:tab/>
      </w:r>
    </w:p>
    <w:p w14:paraId="3A9E483C">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rPr>
          <w:color w:val="000000"/>
        </w:rPr>
      </w:pPr>
      <w:r>
        <w:rPr>
          <w:color w:val="000000"/>
        </w:rPr>
        <w:tab/>
      </w:r>
      <w:r>
        <w:rPr>
          <w:color w:val="000000"/>
        </w:rPr>
        <w:t>Berdasarkan nilai signifikansi (Sig.) dari output ANOVA Berdasarkan output diatas diketahui nilai Sig. Adalah sebesar 0,000 &lt; 0,05. Maka sesuai dengan dasar pengambilan keputusan dalam uji F dapat disimpulkan bahwa H0 ditolak dan Ha diterima. Artinya secara Bersama-sama variable mental accounting, literasi keuangan, dan inklusi keuangan berpengaruh terhadap perilaku keuangan mahasiswa akuntansi.</w:t>
      </w:r>
    </w:p>
    <w:p w14:paraId="317CCBD2">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center"/>
        <w:rPr>
          <w:color w:val="000000"/>
          <w:sz w:val="20"/>
          <w:szCs w:val="20"/>
        </w:rPr>
      </w:pPr>
      <w:r>
        <w:rPr>
          <w:color w:val="000000"/>
          <w:sz w:val="20"/>
          <w:szCs w:val="20"/>
        </w:rPr>
        <w:t xml:space="preserve">Tabel 10. Koefisien Detrminasi </w:t>
      </w:r>
      <w:r>
        <w:rPr>
          <w:sz w:val="20"/>
          <w:szCs w:val="20"/>
        </w:rPr>
        <w:t>(R²)</w:t>
      </w:r>
    </w:p>
    <w:tbl>
      <w:tblPr>
        <w:tblStyle w:val="18"/>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233"/>
        <w:gridCol w:w="2457"/>
      </w:tblGrid>
      <w:tr w14:paraId="559F0F1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3" w:hRule="atLeast"/>
          <w:jc w:val="center"/>
        </w:trPr>
        <w:tc>
          <w:tcPr>
            <w:tcW w:w="1233" w:type="dxa"/>
          </w:tcPr>
          <w:p w14:paraId="767FEFF7">
            <w:pPr>
              <w:tabs>
                <w:tab w:val="left" w:pos="288"/>
              </w:tabs>
              <w:spacing w:after="0" w:line="240" w:lineRule="auto"/>
              <w:ind w:right="566"/>
              <w:jc w:val="center"/>
              <w:rPr>
                <w:b/>
                <w:bCs/>
                <w:color w:val="000000"/>
                <w:sz w:val="20"/>
                <w:szCs w:val="20"/>
              </w:rPr>
            </w:pPr>
            <w:r>
              <w:rPr>
                <w:b/>
                <w:bCs/>
                <w:color w:val="000000"/>
                <w:sz w:val="20"/>
                <w:szCs w:val="20"/>
              </w:rPr>
              <w:t>R</w:t>
            </w:r>
          </w:p>
        </w:tc>
        <w:tc>
          <w:tcPr>
            <w:tcW w:w="2457" w:type="dxa"/>
          </w:tcPr>
          <w:p w14:paraId="2525CADF">
            <w:pPr>
              <w:tabs>
                <w:tab w:val="left" w:pos="288"/>
              </w:tabs>
              <w:spacing w:after="0" w:line="240" w:lineRule="auto"/>
              <w:ind w:right="566"/>
              <w:jc w:val="center"/>
              <w:rPr>
                <w:b/>
                <w:bCs/>
                <w:color w:val="000000"/>
                <w:sz w:val="20"/>
                <w:szCs w:val="20"/>
              </w:rPr>
            </w:pPr>
            <w:r>
              <w:rPr>
                <w:b/>
                <w:bCs/>
                <w:color w:val="000000"/>
                <w:sz w:val="20"/>
                <w:szCs w:val="20"/>
              </w:rPr>
              <w:t>Adjusted R Square</w:t>
            </w:r>
          </w:p>
        </w:tc>
      </w:tr>
      <w:tr w14:paraId="2E43CD4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2" w:hRule="atLeast"/>
          <w:jc w:val="center"/>
        </w:trPr>
        <w:tc>
          <w:tcPr>
            <w:tcW w:w="1233" w:type="dxa"/>
          </w:tcPr>
          <w:p w14:paraId="5211E288">
            <w:pPr>
              <w:tabs>
                <w:tab w:val="left" w:pos="288"/>
              </w:tabs>
              <w:spacing w:after="0" w:line="240" w:lineRule="auto"/>
              <w:ind w:right="566"/>
              <w:jc w:val="center"/>
              <w:rPr>
                <w:color w:val="000000"/>
                <w:sz w:val="20"/>
                <w:szCs w:val="20"/>
              </w:rPr>
            </w:pPr>
            <w:r>
              <w:rPr>
                <w:color w:val="000000"/>
                <w:sz w:val="20"/>
                <w:szCs w:val="20"/>
              </w:rPr>
              <w:t>0,643</w:t>
            </w:r>
          </w:p>
        </w:tc>
        <w:tc>
          <w:tcPr>
            <w:tcW w:w="2457" w:type="dxa"/>
          </w:tcPr>
          <w:p w14:paraId="132C4FB4">
            <w:pPr>
              <w:tabs>
                <w:tab w:val="left" w:pos="288"/>
              </w:tabs>
              <w:spacing w:after="0" w:line="240" w:lineRule="auto"/>
              <w:ind w:right="566"/>
              <w:jc w:val="center"/>
              <w:rPr>
                <w:color w:val="000000"/>
                <w:sz w:val="20"/>
                <w:szCs w:val="20"/>
              </w:rPr>
            </w:pPr>
            <w:r>
              <w:rPr>
                <w:color w:val="000000"/>
                <w:sz w:val="20"/>
                <w:szCs w:val="20"/>
              </w:rPr>
              <w:t>0,414</w:t>
            </w:r>
          </w:p>
        </w:tc>
      </w:tr>
    </w:tbl>
    <w:p w14:paraId="1CB9ABFF">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rPr>
          <w:color w:val="000000"/>
        </w:rPr>
      </w:pPr>
    </w:p>
    <w:p w14:paraId="201ECA08">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jc w:val="both"/>
        <w:rPr>
          <w:color w:val="000000"/>
        </w:rPr>
      </w:pPr>
      <w:r>
        <w:rPr>
          <w:color w:val="000000"/>
        </w:rPr>
        <w:t>Angka R Square memiliki angka sebesar 0,414 artinya 41,4 % dari variabel dependen yang ada yaitu perilaku keuangan. Sisanya yaitu 58,6% adalah dipengaruhi oleh variabel lain yang dalam penelitian ini belum diteliti. Ini berarti kemampuan variabel-variabel independen mengukur seberapa jauh sebuah model dalam menerangkan variabel dependen masih terbatas. Sehingga diperlukan variabel lainnya yang belum diteliti dalam penelitian ini untuk meningkatkan koefisien determinasinya.</w:t>
      </w:r>
    </w:p>
    <w:p w14:paraId="7FB8202E">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jc w:val="both"/>
        <w:rPr>
          <w:b/>
          <w:bCs/>
          <w:color w:val="000000"/>
        </w:rPr>
      </w:pPr>
      <w:r>
        <w:rPr>
          <w:b/>
          <w:bCs/>
          <w:color w:val="000000"/>
        </w:rPr>
        <w:t>Pengaruh Mental Accounting Terhadap Perilaku Keuangan</w:t>
      </w:r>
    </w:p>
    <w:p w14:paraId="4D5D4BBE">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jc w:val="both"/>
        <w:rPr>
          <w:color w:val="000000"/>
        </w:rPr>
      </w:pPr>
      <w:r>
        <w:rPr>
          <w:color w:val="000000"/>
        </w:rPr>
        <w:tab/>
      </w:r>
      <w:r>
        <w:rPr>
          <w:color w:val="000000"/>
        </w:rPr>
        <w:t>Hipotesis 1 dalam penelitian ini bertujuan untuk menguji dan menganalisis pengaruh mental accounting terhadap perilaku keuangan mahasiswa akuntansi Universitas Wijaya Kusuma Surabaya. Hasil dari pengujian hipotesis 1 menunjukkan bahwa mental accounting berpengaruh positif signifikan terhadap perilaku keuangan mahasiswa akuntansi Universitas Wijaya Kusuma Surabaya, sehingga dapat disimpulkan H1 diterima, H0 ditolak. Hal ini menjelaskan bahwa semakin tinggi kemampuan yang dimiliki individu dalam berpikir untuk pengalokasian sumber dana atau pendapatan yang dimiliki, maka akan semakin baik mahasiswa akan mengelola keuangannya. Kemampuan berpikir dan alokasi sumber dana tersebut dapat membantu mahasiswa untuk mengelola keuangannya, sehingga mereka dapat membuat skala prioritas kebutuhan yang dianggap penting. \</w:t>
      </w:r>
    </w:p>
    <w:p w14:paraId="10A303B3">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jc w:val="both"/>
        <w:rPr>
          <w:color w:val="000000"/>
        </w:rPr>
      </w:pPr>
      <w:r>
        <w:rPr>
          <w:color w:val="000000"/>
        </w:rPr>
        <w:tab/>
      </w:r>
      <w:r>
        <w:rPr>
          <w:color w:val="000000"/>
        </w:rPr>
        <w:t>Hal ini sejalan dengan penelitian Zakka (2024), Ramdhan dkk., (2024), Syaputri &amp; Pradesyah (2023), Cristanti dkk., (2021). Persamaan hasil penelitian terdahulu dan sekarang dapat dimungkinkan karena individu mampu mengalokasikan pendapatan mereka secara spesifik berdasarkan sumber dana yang dimiliki, sehingga mencerminkan adanya pola pikir dalam mental accounting yang kuat.</w:t>
      </w:r>
    </w:p>
    <w:p w14:paraId="048CA211">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jc w:val="both"/>
        <w:rPr>
          <w:b/>
          <w:bCs/>
          <w:color w:val="000000"/>
        </w:rPr>
      </w:pPr>
      <w:r>
        <w:rPr>
          <w:b/>
          <w:bCs/>
          <w:color w:val="000000"/>
        </w:rPr>
        <w:t>Pengaruh Literasi Keuangan Terhadap Perilaku Keuangan</w:t>
      </w:r>
    </w:p>
    <w:p w14:paraId="6A511C09">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jc w:val="both"/>
        <w:rPr>
          <w:color w:val="000000"/>
        </w:rPr>
      </w:pPr>
      <w:r>
        <w:rPr>
          <w:color w:val="000000"/>
        </w:rPr>
        <w:tab/>
      </w:r>
      <w:r>
        <w:rPr>
          <w:color w:val="000000"/>
        </w:rPr>
        <w:t>Hipotesis 2 yang menyatakan bahwa literasi keuangan berpengaruh positif terhadap perilaku keuangan dalam penelitian ini diterima. Ketika seseorang memiliki pemahaman yang kuat tentang literasi keuangan, mereka cenderung membuat keputusan yang lebih bijaksana. Pentingnya literasi keuangan tidak dapat diabaikan karena kehidupan sehari-hari seringkali melibatkan pengambilan keputusan keuangan, seperti mengelola gaji, mengatur anggaran, berinvestasi, dan mengelola hutang. Kurangnya literasi keuangan dapat menyebabkan individu menghadapi masalah keuangan, seperti hutang yang berlebih, kurangnya tabungan, atau ketidakmampuan untuk merencanakan masa pensiun dengan baik.</w:t>
      </w:r>
    </w:p>
    <w:p w14:paraId="74702295">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jc w:val="both"/>
        <w:rPr>
          <w:color w:val="000000"/>
        </w:rPr>
      </w:pPr>
      <w:r>
        <w:rPr>
          <w:color w:val="000000"/>
        </w:rPr>
        <w:t>Hasil penelitian ini sejalan dengan penelitian yang dilakukan oleh Atiqoh dkk., (2023), Yatiningsih dkk., (2024), Fetesond &amp; Cakranegara (2022), HS &amp; Lestari (2022), Hidayat &amp; Paramita (2024), Anisyah dkk., (2021), Zulkarnaen dkk., (2022) yang menyatakan bahwa literasi keuangan juga berpengaruh terhadap perilaku keuangan.</w:t>
      </w:r>
    </w:p>
    <w:p w14:paraId="734CD21D">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jc w:val="both"/>
        <w:rPr>
          <w:b/>
          <w:bCs/>
          <w:color w:val="000000"/>
        </w:rPr>
      </w:pPr>
      <w:r>
        <w:rPr>
          <w:b/>
          <w:bCs/>
          <w:color w:val="000000"/>
        </w:rPr>
        <w:t>Pengaruh Inklusi Keuangab Terhadap Perilaku Keuangan</w:t>
      </w:r>
    </w:p>
    <w:p w14:paraId="40F51653">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jc w:val="both"/>
        <w:rPr>
          <w:color w:val="000000"/>
        </w:rPr>
      </w:pPr>
      <w:r>
        <w:rPr>
          <w:color w:val="000000"/>
        </w:rPr>
        <w:tab/>
      </w:r>
      <w:r>
        <w:rPr>
          <w:color w:val="000000"/>
        </w:rPr>
        <w:t>Hipotesis 3 dalam penelitian ini bertujuan untuk menguji dan menganalisis pengaruh inklusi keuangan terhadap perilaku keuangan mahasiswa akuntansi Universitas Wijaya Kusuma Surabaya. Hasil dari pengujian hipotesis 3 menunjukkan bahwa inklusi keuangan berpengaruh negatif signifikan terhadap perilaku keuangan mahasiswa akuntansi Universitas Wijaya Kusuma Surabaya. Sehingga dapat disimpulkan H3 diterima, H0 ditolak. Hal ini menjelaskan bahwa ketika tingkat inklusi keuangan mahasiswa meningkat seperti akses ke layanan keuangan, rekening bank, kredit, atau pinjaman semakin mudah maka perilaku keuangan mereka justru cenderung memburuk. Mahasiswa yang memiliki akses mudah ke kartu kredit cenderung menggunakannya secara impulsif tanpa perencanaan yang matang, sehingga menyebabkan perilaku keuangan yang tidak sehat. Kemudahan akses seperti kredit yang didapatkan dan dirasakan mahasiswa dapat membuat mahsiswa merasa tidak perlu merencanakan keuangan secara hati-hati, sehingga pengeluaran menjadi tidak terkontrol dan dapat menyebabkan mahasiswa lebih sering menggunakan utang sebagai solusi keuangan jangka pendek. Kebiasaan ini tidak hanya membahayakan stabilitas keuangan mereka di masa depan, tetapi juga dapat memengaruhi kemampuan mereka untuk membuat keputusan finansial yang bijak.</w:t>
      </w:r>
    </w:p>
    <w:p w14:paraId="0500B7C3">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jc w:val="both"/>
        <w:rPr>
          <w:color w:val="000000"/>
        </w:rPr>
      </w:pPr>
      <w:r>
        <w:rPr>
          <w:color w:val="000000"/>
        </w:rPr>
        <w:t>Hasil ini sejalan dengan penelitian Hidayat &amp; Paramita (2024), HS &amp; Lestari (2022), Faisal (2021), yang menyatakan bahwa inklusi keuangan juga berpengaruh terhadap perilaku keuangan.</w:t>
      </w:r>
    </w:p>
    <w:p w14:paraId="3571FE80">
      <w:pPr>
        <w:pStyle w:val="2"/>
        <w:numPr>
          <w:ilvl w:val="0"/>
          <w:numId w:val="3"/>
        </w:numPr>
        <w:ind w:right="566"/>
      </w:pPr>
      <w:r>
        <w:t>Penutup</w:t>
      </w:r>
    </w:p>
    <w:p w14:paraId="713D5288">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both"/>
        <w:rPr>
          <w:color w:val="000000"/>
        </w:rPr>
      </w:pPr>
      <w:r>
        <w:rPr>
          <w:color w:val="000000"/>
        </w:rPr>
        <w:t>Berdasarkandari pengujian, hasil analisis dan pembahasan yang telah dilakukan, sesuai dengan tujuan penelitian ini dapat ditarik kesimpulan serta keterbatasan yang ada pada penelitian ini.</w:t>
      </w:r>
    </w:p>
    <w:p w14:paraId="58942A09">
      <w:pPr>
        <w:pStyle w:val="6"/>
        <w:numPr>
          <w:ilvl w:val="1"/>
          <w:numId w:val="6"/>
        </w:numPr>
        <w:spacing w:before="120" w:after="60"/>
        <w:ind w:left="426" w:right="566" w:hanging="426"/>
        <w:jc w:val="both"/>
        <w:rPr>
          <w:rFonts w:ascii="Times New Roman" w:hAnsi="Times New Roman"/>
        </w:rPr>
      </w:pPr>
      <w:r>
        <w:rPr>
          <w:rFonts w:hint="default" w:ascii="Times New Roman" w:hAnsi="Times New Roman"/>
          <w:lang w:val="en-US"/>
        </w:rPr>
        <w:t>S</w:t>
      </w:r>
      <w:r>
        <w:rPr>
          <w:rFonts w:ascii="Times New Roman" w:hAnsi="Times New Roman"/>
        </w:rPr>
        <w:t>impulan</w:t>
      </w:r>
    </w:p>
    <w:p w14:paraId="1C4FEC9B">
      <w:pPr>
        <w:ind w:firstLine="426"/>
        <w:jc w:val="both"/>
        <w:rPr>
          <w:lang w:eastAsia="zh-CN"/>
        </w:rPr>
      </w:pPr>
      <w:r>
        <w:rPr>
          <w:lang w:eastAsia="zh-CN"/>
        </w:rPr>
        <w:t xml:space="preserve">Berdasarkan hasil penelitian dan atas </w:t>
      </w:r>
      <w:bookmarkStart w:id="1" w:name="_GoBack"/>
      <w:bookmarkEnd w:id="1"/>
      <w:r>
        <w:rPr>
          <w:lang w:eastAsia="zh-CN"/>
        </w:rPr>
        <w:t>dasar hasil pengujian hipotesis maka dapat diambil kesimpulan bahwa Mental accounting berpengaruh positif signifikan terhadap perilaku keuangan mahasiswa akuntansi Universitas Wijaya Kusuma Surabaya. Hasil tersebut menunjukkan bahwa semakin baik mental accounting individu maka akan meningkatkan efektifitas dari perilaku keuangan dan mengurangi risiko keuangan di masa yang akan datang.</w:t>
      </w:r>
    </w:p>
    <w:p w14:paraId="44ED313A">
      <w:pPr>
        <w:ind w:firstLine="426"/>
        <w:jc w:val="both"/>
        <w:rPr>
          <w:lang w:eastAsia="zh-CN"/>
        </w:rPr>
      </w:pPr>
      <w:r>
        <w:rPr>
          <w:lang w:eastAsia="zh-CN"/>
        </w:rPr>
        <w:t>Literasi keuangan berpengaruh positif signifikan terhadap perilaku keuangan mahasiswa akuntansi Universitas Wijaya Kusuma Surabaya. Hal ini menjelaskan ketika seseorang memiliki pemahaman yang kuat mengenai literasi keuangan maka mereka cenderung membuat keputusan yang lebih bijaksana dalam pengelolaan keuangannya.</w:t>
      </w:r>
    </w:p>
    <w:p w14:paraId="0B9E6E5B">
      <w:pPr>
        <w:ind w:firstLine="426"/>
        <w:jc w:val="both"/>
        <w:rPr>
          <w:lang w:eastAsia="zh-CN"/>
        </w:rPr>
      </w:pPr>
      <w:r>
        <w:rPr>
          <w:lang w:eastAsia="zh-CN"/>
        </w:rPr>
        <w:t>Inklusi keuangan berpengaruh negatif signifikan terhadap perilaku keuangan mahasiswa akuntansi Universitas Wijaya Kusuma Surabaya. Hasil tersebut menunjukkan bahwa semakin baiknya akses terhadap produk dan jasa keuangan maka semakin tidak selalu baik perilaku keuangan mahasiswa akuntansi</w:t>
      </w:r>
    </w:p>
    <w:p w14:paraId="50000665">
      <w:pPr>
        <w:pStyle w:val="6"/>
        <w:numPr>
          <w:ilvl w:val="1"/>
          <w:numId w:val="6"/>
        </w:numPr>
        <w:spacing w:before="120" w:after="60"/>
        <w:ind w:left="426" w:right="566" w:hanging="426"/>
        <w:jc w:val="left"/>
        <w:rPr>
          <w:rFonts w:ascii="Times New Roman" w:hAnsi="Times New Roman"/>
        </w:rPr>
      </w:pPr>
      <w:r>
        <w:rPr>
          <w:rFonts w:ascii="Times New Roman" w:hAnsi="Times New Roman"/>
        </w:rPr>
        <w:t>Keterbatasan Penelitian</w:t>
      </w:r>
    </w:p>
    <w:p w14:paraId="559BD661">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both"/>
        <w:rPr>
          <w:color w:val="000000"/>
        </w:rPr>
      </w:pPr>
      <w:r>
        <w:rPr>
          <w:color w:val="000000"/>
        </w:rPr>
        <w:t>Objek penelitian hanya mahasiswa akuntansi universitas Wijaya Kusuma Surabaya, yang menyebabkan representasi wilayah sangat terbatas. Hal ini dapat mengurangi keluasan cakupan penelitian dalam mencari responden dengan kriteria yang sudah ditentukan.</w:t>
      </w:r>
    </w:p>
    <w:p w14:paraId="02B81350">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right="566" w:firstLine="288"/>
        <w:jc w:val="both"/>
        <w:rPr>
          <w:color w:val="000000"/>
        </w:rPr>
      </w:pPr>
    </w:p>
    <w:p w14:paraId="569344E2">
      <w:pPr>
        <w:pStyle w:val="6"/>
        <w:ind w:right="566"/>
        <w:rPr>
          <w:rFonts w:ascii="Times New Roman" w:hAnsi="Times New Roman"/>
          <w:sz w:val="24"/>
          <w:szCs w:val="24"/>
        </w:rPr>
      </w:pPr>
      <w:r>
        <w:rPr>
          <w:rFonts w:ascii="Times New Roman" w:hAnsi="Times New Roman"/>
          <w:sz w:val="24"/>
          <w:szCs w:val="24"/>
        </w:rPr>
        <w:t>Daftar Pustaka</w:t>
      </w:r>
    </w:p>
    <w:p w14:paraId="0D1A0A2B">
      <w:pPr>
        <w:widowControl w:val="0"/>
        <w:spacing w:line="240" w:lineRule="auto"/>
        <w:ind w:left="480" w:hanging="480"/>
        <w:jc w:val="both"/>
      </w:pPr>
      <w:r>
        <w:t xml:space="preserve">Anisyah, E. N., Pinem, D., &amp; Hidayati, S. (2021). </w:t>
      </w:r>
      <w:r>
        <w:rPr>
          <w:i/>
          <w:iCs/>
        </w:rPr>
        <w:t>Pengaruh literasi keuangan, inklusi keuangan dan financial technology terhadap perilaku keuangan pelaku UMKM di Kecamatan Sekupang.</w:t>
      </w:r>
      <w:r>
        <w:t xml:space="preserve"> Management and Business Review, 5(2), 310–324. https://doi.org/10.21067/mbr.v5i2.6083</w:t>
      </w:r>
    </w:p>
    <w:p w14:paraId="6AC6680B">
      <w:pPr>
        <w:widowControl w:val="0"/>
        <w:spacing w:line="240" w:lineRule="auto"/>
        <w:ind w:left="480" w:hanging="480"/>
        <w:jc w:val="both"/>
      </w:pPr>
      <w:r>
        <w:t xml:space="preserve">cnnindonesia.com. (2023). </w:t>
      </w:r>
      <w:r>
        <w:rPr>
          <w:i/>
          <w:iCs/>
        </w:rPr>
        <w:t>Riset INDEF: Utang Pinjol Anak Muda Lebih Besar dari Pendapatannya Baca artikel CNN Indonesia “Riset INDEF: Utang Pinjol Anak Muda Lebih Besar dari Pendapatannya”</w:t>
      </w:r>
      <w:r>
        <w:t xml:space="preserve">. </w:t>
      </w:r>
      <w:r>
        <w:fldChar w:fldCharType="begin"/>
      </w:r>
      <w:r>
        <w:instrText xml:space="preserve"> HYPERLINK "https://www.cnnindonesia.com/ekonomi/20230912194848-78-998167/riset-indef-utang-pinjol-anak-muda-lebih-besar-dari-pendapatannya" </w:instrText>
      </w:r>
      <w:r>
        <w:fldChar w:fldCharType="separate"/>
      </w:r>
      <w:r>
        <w:rPr>
          <w:rStyle w:val="14"/>
        </w:rPr>
        <w:t>https://www.cnnindonesia.com/ekonomi/20230912194848-78-998167/riset-indef-utang-pinjol-anak-muda-lebih-besar-dari-pendapatannya</w:t>
      </w:r>
      <w:r>
        <w:rPr>
          <w:rStyle w:val="14"/>
        </w:rPr>
        <w:fldChar w:fldCharType="end"/>
      </w:r>
    </w:p>
    <w:p w14:paraId="5C52ED00">
      <w:pPr>
        <w:widowControl w:val="0"/>
        <w:spacing w:line="240" w:lineRule="auto"/>
        <w:ind w:left="480" w:hanging="480"/>
        <w:jc w:val="both"/>
      </w:pPr>
      <w:r>
        <w:t xml:space="preserve">Cristanti, I. L., Luhsasi, D. I., &amp; Sitorus, D. S. (2021). </w:t>
      </w:r>
      <w:r>
        <w:rPr>
          <w:i/>
          <w:iCs/>
        </w:rPr>
        <w:t>Pandemi Covid-19: Pengaruh Perilaku Konsumtif dan Mental Accounting Terhadap Pengelolaan Keuangan Mahasiswa FKIP UKSW.</w:t>
      </w:r>
      <w:r>
        <w:t xml:space="preserve"> Jurnal Akuntansi Dan Pajak, 22(01), 128–135. </w:t>
      </w:r>
      <w:r>
        <w:fldChar w:fldCharType="begin"/>
      </w:r>
      <w:r>
        <w:instrText xml:space="preserve"> HYPERLINK "https://doi.org/http://dx.doi.org/10.29040/jap.v22i1.2690" </w:instrText>
      </w:r>
      <w:r>
        <w:fldChar w:fldCharType="separate"/>
      </w:r>
      <w:r>
        <w:rPr>
          <w:rStyle w:val="14"/>
        </w:rPr>
        <w:t>https://doi.org/http://dx.doi.org/10.29040/jap.v22i1.2690</w:t>
      </w:r>
      <w:r>
        <w:rPr>
          <w:rStyle w:val="14"/>
        </w:rPr>
        <w:fldChar w:fldCharType="end"/>
      </w:r>
    </w:p>
    <w:p w14:paraId="592C1235">
      <w:pPr>
        <w:widowControl w:val="0"/>
        <w:autoSpaceDE w:val="0"/>
        <w:autoSpaceDN w:val="0"/>
        <w:adjustRightInd w:val="0"/>
        <w:spacing w:line="240" w:lineRule="auto"/>
        <w:ind w:left="480" w:hanging="480"/>
        <w:jc w:val="both"/>
      </w:pPr>
      <w:r>
        <w:t xml:space="preserve">Harun, K. T., Putri, A. P., Evelyn, E., &amp; Silalahi, A. D. (2024). </w:t>
      </w:r>
      <w:r>
        <w:rPr>
          <w:i/>
          <w:iCs/>
        </w:rPr>
        <w:t>Pengaruh Persepsi Usaha, Literasi Keuangan, Pengetahuan Akuntansi Dan Pengalaman Usaha Terhadap Perilaku Keuangan UMKM (Studi Kasus Di Glugur Kota Medan)</w:t>
      </w:r>
      <w:r>
        <w:t>. Journal of Economic, Bussines and Accounting (COSTING), 7(2), 2898–2908. https://doi.org/10.31539/costing.v7i2.7865</w:t>
      </w:r>
    </w:p>
    <w:p w14:paraId="4A008DC9">
      <w:pPr>
        <w:widowControl w:val="0"/>
        <w:spacing w:line="240" w:lineRule="auto"/>
        <w:ind w:left="480" w:hanging="480"/>
        <w:jc w:val="both"/>
      </w:pPr>
      <w:r>
        <w:t xml:space="preserve">Hidayat, F. A., &amp; Paramita, V. S. (2024). </w:t>
      </w:r>
      <w:r>
        <w:rPr>
          <w:i/>
          <w:iCs/>
        </w:rPr>
        <w:t>Analisis Pengaruh Gaya Hidup, Literasi Keuangan dan Inklusi Keuangan terhadap Perilaku Keuangan Generasi Z di Jawa Barat</w:t>
      </w:r>
      <w:r>
        <w:t xml:space="preserve">. Journal of Management and Bussines (JOMB), 6(3), 1143–1152. </w:t>
      </w:r>
      <w:r>
        <w:fldChar w:fldCharType="begin"/>
      </w:r>
      <w:r>
        <w:instrText xml:space="preserve"> HYPERLINK "https://doi.org/10.31539/jomb.v6i3.8963" </w:instrText>
      </w:r>
      <w:r>
        <w:fldChar w:fldCharType="separate"/>
      </w:r>
      <w:r>
        <w:rPr>
          <w:rStyle w:val="14"/>
        </w:rPr>
        <w:t>https://doi.org/10.31539/jomb.v6i3.8963</w:t>
      </w:r>
      <w:r>
        <w:rPr>
          <w:rStyle w:val="14"/>
        </w:rPr>
        <w:fldChar w:fldCharType="end"/>
      </w:r>
    </w:p>
    <w:p w14:paraId="06AB8F4E">
      <w:pPr>
        <w:widowControl w:val="0"/>
        <w:spacing w:line="240" w:lineRule="auto"/>
        <w:ind w:left="480" w:hanging="480"/>
        <w:jc w:val="both"/>
      </w:pPr>
      <w:r>
        <w:t xml:space="preserve">HS, S., &amp; Lestari, A. (2022). </w:t>
      </w:r>
      <w:r>
        <w:rPr>
          <w:i/>
          <w:iCs/>
        </w:rPr>
        <w:t>Pengaruh Literasi Keuangan, Inklusi Keuangan dan Gaya Hidup Terhadap Perilaku Keuangan Pada Generasi Milenial. Jurnal Multidisiplin</w:t>
      </w:r>
      <w:r>
        <w:t xml:space="preserve">. Madani, 2(5), 2415–2430. </w:t>
      </w:r>
      <w:r>
        <w:fldChar w:fldCharType="begin"/>
      </w:r>
      <w:r>
        <w:instrText xml:space="preserve"> HYPERLINK "https://doi.org/10.55927/mudima.v2i5.396" </w:instrText>
      </w:r>
      <w:r>
        <w:fldChar w:fldCharType="separate"/>
      </w:r>
      <w:r>
        <w:rPr>
          <w:rStyle w:val="14"/>
        </w:rPr>
        <w:t>https://doi.org/10.55927/mudima.v2i5.396</w:t>
      </w:r>
      <w:r>
        <w:rPr>
          <w:rStyle w:val="14"/>
        </w:rPr>
        <w:fldChar w:fldCharType="end"/>
      </w:r>
    </w:p>
    <w:p w14:paraId="63674343">
      <w:pPr>
        <w:widowControl w:val="0"/>
        <w:autoSpaceDE w:val="0"/>
        <w:autoSpaceDN w:val="0"/>
        <w:adjustRightInd w:val="0"/>
        <w:spacing w:line="240" w:lineRule="auto"/>
        <w:ind w:left="480" w:hanging="480"/>
        <w:jc w:val="both"/>
      </w:pPr>
      <w:r>
        <w:t xml:space="preserve">Ismia, F. K., Udzikrilah, S., &amp; Pratiwi, P. D. (2024). </w:t>
      </w:r>
      <w:r>
        <w:rPr>
          <w:i/>
          <w:iCs/>
        </w:rPr>
        <w:t>Pengaruh Mental Accounting dan Literasi Keuangan Terhadap Financia Behaviour dengan Dimediasi Gaya Hidup Konsumtif Mahasiswa Akif di DKI Jakarta</w:t>
      </w:r>
      <w:r>
        <w:t xml:space="preserve">. Jurnal Ilmiah Mahasiswa Ekonomi Akuntansi, </w:t>
      </w:r>
      <w:r>
        <w:rPr>
          <w:i/>
          <w:iCs/>
        </w:rPr>
        <w:t>9</w:t>
      </w:r>
      <w:r>
        <w:t>(2), 118–130. https://doi.org/10.24815/jimeka.v9i2.30045</w:t>
      </w:r>
    </w:p>
    <w:p w14:paraId="238F58C6">
      <w:pPr>
        <w:widowControl w:val="0"/>
        <w:autoSpaceDE w:val="0"/>
        <w:autoSpaceDN w:val="0"/>
        <w:adjustRightInd w:val="0"/>
        <w:spacing w:line="240" w:lineRule="auto"/>
        <w:ind w:left="480" w:hanging="480"/>
        <w:jc w:val="both"/>
      </w:pPr>
      <w:r>
        <w:t xml:space="preserve">Izza, N. (2024). </w:t>
      </w:r>
      <w:r>
        <w:rPr>
          <w:i/>
          <w:iCs/>
        </w:rPr>
        <w:t>Pengaruh Pembelajaran Akuntansi Keuangan, Literasi Keuangan, dan Pendaatan Terhadap Perilaku Keuangan Mahasiswa Fakultas Ekonomi Universitas Muhammadiyah Sumatera Barat.</w:t>
      </w:r>
      <w:r>
        <w:t xml:space="preserve"> Universitas Muhammadiyah Sumatera Barat.</w:t>
      </w:r>
    </w:p>
    <w:p w14:paraId="581CB628">
      <w:pPr>
        <w:widowControl w:val="0"/>
        <w:autoSpaceDE w:val="0"/>
        <w:autoSpaceDN w:val="0"/>
        <w:adjustRightInd w:val="0"/>
        <w:spacing w:line="240" w:lineRule="auto"/>
        <w:ind w:left="480" w:hanging="480"/>
        <w:jc w:val="both"/>
      </w:pPr>
      <w:r>
        <w:t xml:space="preserve">Jelita, I. N. (2024). </w:t>
      </w:r>
      <w:r>
        <w:rPr>
          <w:i/>
          <w:iCs/>
        </w:rPr>
        <w:t>37% Gagal Bayar Pinjol Disumbang Milenial dan Gen Z</w:t>
      </w:r>
      <w:r>
        <w:t>. Metrotvnews.Com. https://www.metrotvnews.com/read/kqYCx9qD-37-gagal-bayar-pinjol-disumbang-milenial-dan-gen-z</w:t>
      </w:r>
    </w:p>
    <w:p w14:paraId="1D406438">
      <w:pPr>
        <w:widowControl w:val="0"/>
        <w:autoSpaceDE w:val="0"/>
        <w:autoSpaceDN w:val="0"/>
        <w:adjustRightInd w:val="0"/>
        <w:spacing w:line="240" w:lineRule="auto"/>
        <w:ind w:left="480" w:hanging="480"/>
        <w:jc w:val="both"/>
      </w:pPr>
      <w:r>
        <w:t xml:space="preserve">Syaputri, C. F., &amp; Pradesyah, R. (2023). </w:t>
      </w:r>
      <w:r>
        <w:rPr>
          <w:i/>
          <w:iCs/>
        </w:rPr>
        <w:t>Pengaruh Literasi Keuangan Syariah Dan Mental Accounting Terhadap Perilaku Keuangan Generasi Z Dalam Membangun UMKM (Studi Kasus Pelaku UMKM Halal Kota Medan).</w:t>
      </w:r>
      <w:r>
        <w:t xml:space="preserve"> Jurnal Ekonomi Islam, 4(2), 151–164. https://creativecommons.org/licenses/by-sa/4.0/</w:t>
      </w:r>
    </w:p>
    <w:p w14:paraId="32BEBA59">
      <w:pPr>
        <w:widowControl w:val="0"/>
        <w:autoSpaceDE w:val="0"/>
        <w:autoSpaceDN w:val="0"/>
        <w:adjustRightInd w:val="0"/>
        <w:spacing w:line="240" w:lineRule="auto"/>
        <w:ind w:left="480" w:hanging="480"/>
        <w:jc w:val="both"/>
      </w:pPr>
      <w:r>
        <w:t xml:space="preserve">Tambun, S., Soetiuono, A., &amp; Sitorus, R. (2023). </w:t>
      </w:r>
      <w:r>
        <w:rPr>
          <w:i/>
          <w:iCs/>
        </w:rPr>
        <w:t>Pengaruh Literasi Keuangan dan Inklusi Keuangan Terhadap Perilaku Keuangan dengan Self Control Sebagai Pemoderasi.</w:t>
      </w:r>
      <w:r>
        <w:t xml:space="preserve"> Journal Akuntansi Manajerial, 8(2), 20–33. http://journal.uta45jakarta.ac.id/index.php/JAM/index</w:t>
      </w:r>
    </w:p>
    <w:p w14:paraId="2CF03DF7">
      <w:pPr>
        <w:widowControl w:val="0"/>
        <w:autoSpaceDE w:val="0"/>
        <w:autoSpaceDN w:val="0"/>
        <w:adjustRightInd w:val="0"/>
        <w:spacing w:line="240" w:lineRule="auto"/>
        <w:ind w:left="480" w:hanging="480"/>
        <w:jc w:val="both"/>
        <w:rPr>
          <w:color w:val="000000"/>
        </w:rPr>
      </w:pPr>
      <w:r>
        <w:t xml:space="preserve">Yatiningsih, A., Boedi, S., Ruwanti, G., &amp; Kadir, A. (2024). </w:t>
      </w:r>
      <w:r>
        <w:rPr>
          <w:i/>
          <w:iCs/>
        </w:rPr>
        <w:t>Pengaruh Pembelajaran Akuntansi, Literasi Keuangan dan Kontrol Diri terhadap Perilaku Keuangan Mahasiswa Akuntansi</w:t>
      </w:r>
      <w:r>
        <w:t>. Owner, 8(3), 2041–2050.</w:t>
      </w:r>
    </w:p>
    <w:p w14:paraId="6FE6DDB3">
      <w:pPr>
        <w:widowControl w:val="0"/>
        <w:autoSpaceDE w:val="0"/>
        <w:autoSpaceDN w:val="0"/>
        <w:adjustRightInd w:val="0"/>
        <w:spacing w:line="240" w:lineRule="auto"/>
        <w:ind w:left="480" w:hanging="480"/>
        <w:jc w:val="both"/>
      </w:pPr>
      <w:r>
        <w:t xml:space="preserve">Yuniarsih, E., Tiarani, R., Fariyanda, R., Raki, E. Y. A., &amp; Damayanti, F. (2024). </w:t>
      </w:r>
      <w:r>
        <w:rPr>
          <w:i/>
          <w:iCs/>
        </w:rPr>
        <w:t>Pengaruh Gaya Hidup dan Mental Accounting Terhadap Pengelolaan Keuangan Mahasiswa Penerima KIP Kuliah (Studi Kasus: Mahasiswa FEB UNTAN).</w:t>
      </w:r>
      <w:r>
        <w:t xml:space="preserve"> Jurnal Audit Dan Akuntansi Fakultas Ekonomi Universitas Tanjunpura, 13(1), 111–137. </w:t>
      </w:r>
      <w:r>
        <w:fldChar w:fldCharType="begin"/>
      </w:r>
      <w:r>
        <w:instrText xml:space="preserve"> HYPERLINK "https://doi.org/10.26418/jaakfe.v13i1.81912" </w:instrText>
      </w:r>
      <w:r>
        <w:fldChar w:fldCharType="separate"/>
      </w:r>
      <w:r>
        <w:rPr>
          <w:rStyle w:val="14"/>
        </w:rPr>
        <w:t>https://doi.org/10.26418/jaakfe.v13i1.81912</w:t>
      </w:r>
      <w:r>
        <w:rPr>
          <w:rStyle w:val="14"/>
        </w:rPr>
        <w:fldChar w:fldCharType="end"/>
      </w:r>
    </w:p>
    <w:p w14:paraId="128254F3">
      <w:pPr>
        <w:widowControl w:val="0"/>
        <w:autoSpaceDE w:val="0"/>
        <w:autoSpaceDN w:val="0"/>
        <w:adjustRightInd w:val="0"/>
        <w:spacing w:line="240" w:lineRule="auto"/>
        <w:ind w:left="480" w:hanging="480"/>
        <w:jc w:val="both"/>
      </w:pPr>
      <w:r>
        <w:t xml:space="preserve">Zakiah, T. R., Lasmanah, &amp; Sevriana, L. (2021). </w:t>
      </w:r>
      <w:r>
        <w:rPr>
          <w:i/>
          <w:iCs/>
        </w:rPr>
        <w:t>Pengaruh Sikap Keuangan dan Literasi Keuangan terhadap Perilaku Keuangan pada Anggota Ghoib Community di Kabupaten Bandung Barat.</w:t>
      </w:r>
      <w:r>
        <w:t xml:space="preserve"> Jurnal Riset Manajemen Dan Bisnis, </w:t>
      </w:r>
      <w:r>
        <w:rPr>
          <w:i/>
          <w:iCs/>
        </w:rPr>
        <w:t>1</w:t>
      </w:r>
      <w:r>
        <w:t>(1), 42–50. https://doi.org/10.29313/jrmb.v1i1.165</w:t>
      </w:r>
    </w:p>
    <w:p w14:paraId="25385983">
      <w:pPr>
        <w:widowControl w:val="0"/>
        <w:autoSpaceDE w:val="0"/>
        <w:autoSpaceDN w:val="0"/>
        <w:adjustRightInd w:val="0"/>
        <w:spacing w:line="240" w:lineRule="auto"/>
        <w:ind w:left="480" w:hanging="480"/>
        <w:jc w:val="both"/>
      </w:pPr>
      <w:r>
        <w:t xml:space="preserve">Zulkarnaen, M. H. R., Susyanti, J., &amp; Dianawati, E. (2022). </w:t>
      </w:r>
      <w:r>
        <w:rPr>
          <w:i/>
          <w:iCs/>
        </w:rPr>
        <w:t>Pengaruh Literasi Keuangan, Inklusi Keuangan, dan Financial Technology Terhadap Perilaku Keuangan Pada Mahasiswa Fakultas Ekonomi dan Bisnis Universitas Islam Malang (Studi Kasus Pengguna BRImo Pada Nasabah Digital Banking).</w:t>
      </w:r>
      <w:r>
        <w:t xml:space="preserve"> E – Jurnal Riset Manajemen, 12(02), 1140–1148.</w:t>
      </w:r>
    </w:p>
    <w:p w14:paraId="00D1B7F0">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jc w:val="both"/>
        <w:rPr>
          <w:color w:val="000000"/>
        </w:rPr>
      </w:pPr>
    </w:p>
    <w:p w14:paraId="088A1482">
      <w:pPr>
        <w:pBdr>
          <w:top w:val="none" w:color="auto" w:sz="0" w:space="0"/>
          <w:left w:val="none" w:color="auto" w:sz="0" w:space="0"/>
          <w:bottom w:val="none" w:color="auto" w:sz="0" w:space="0"/>
          <w:right w:val="none" w:color="auto" w:sz="0" w:space="0"/>
          <w:between w:val="none" w:color="auto" w:sz="0" w:space="0"/>
        </w:pBdr>
        <w:tabs>
          <w:tab w:val="left" w:pos="288"/>
        </w:tabs>
        <w:spacing w:after="120" w:line="228" w:lineRule="auto"/>
        <w:ind w:firstLine="288"/>
        <w:jc w:val="both"/>
        <w:rPr>
          <w:color w:val="000000"/>
        </w:rPr>
      </w:pPr>
    </w:p>
    <w:p w14:paraId="34417A0C">
      <w:pPr>
        <w:tabs>
          <w:tab w:val="left" w:pos="4850"/>
        </w:tabs>
      </w:pPr>
      <w:r>
        <w:tab/>
      </w:r>
    </w:p>
    <w:sectPr>
      <w:headerReference r:id="rId7" w:type="first"/>
      <w:footerReference r:id="rId10" w:type="first"/>
      <w:headerReference r:id="rId5" w:type="default"/>
      <w:footerReference r:id="rId8" w:type="default"/>
      <w:headerReference r:id="rId6" w:type="even"/>
      <w:footerReference r:id="rId9" w:type="even"/>
      <w:pgSz w:w="11907" w:h="16840"/>
      <w:pgMar w:top="2269" w:right="1134" w:bottom="1418" w:left="1418" w:header="720" w:footer="720" w:gutter="0"/>
      <w:pgNumType w:start="1"/>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7245F390-5604-4979-82F1-3F8524300BF7}"/>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ECF9D690-0F6B-4113-B386-375B50635367}"/>
  </w:font>
  <w:font w:name="Wingdings">
    <w:panose1 w:val="05000000000000000000"/>
    <w:charset w:val="02"/>
    <w:family w:val="auto"/>
    <w:pitch w:val="default"/>
    <w:sig w:usb0="00000000" w:usb1="00000000" w:usb2="00000000" w:usb3="00000000" w:csb0="80000000" w:csb1="00000000"/>
    <w:embedRegular r:id="rId3" w:fontKey="{9BCFA029-EC7C-4C63-9B6F-44753F3668B4}"/>
  </w:font>
  <w:font w:name="Calibri">
    <w:panose1 w:val="020F0502020204030204"/>
    <w:charset w:val="00"/>
    <w:family w:val="swiss"/>
    <w:pitch w:val="default"/>
    <w:sig w:usb0="E4002EFF" w:usb1="C000247B" w:usb2="00000009" w:usb3="00000000" w:csb0="200001FF" w:csb1="00000000"/>
    <w:embedRegular r:id="rId4" w:fontKey="{E8BBCA6C-871F-4724-A065-2A934BF204E3}"/>
  </w:font>
  <w:font w:name="MS Mincho">
    <w:altName w:val="Yu Gothic UI"/>
    <w:panose1 w:val="02020609040205080304"/>
    <w:charset w:val="80"/>
    <w:family w:val="modern"/>
    <w:pitch w:val="default"/>
    <w:sig w:usb0="00000000" w:usb1="00000000" w:usb2="08000012" w:usb3="00000000" w:csb0="0002009F" w:csb1="00000000"/>
  </w:font>
  <w:font w:name="Junicode">
    <w:altName w:val="Calibri"/>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embedRegular r:id="rId5" w:fontKey="{EF22DC9B-040E-4791-BF3B-F5EC1286AA8A}"/>
  </w:font>
  <w:font w:name="Symbol">
    <w:panose1 w:val="05050102010706020507"/>
    <w:charset w:val="02"/>
    <w:family w:val="roman"/>
    <w:pitch w:val="default"/>
    <w:sig w:usb0="00000000" w:usb1="00000000" w:usb2="00000000" w:usb3="00000000" w:csb0="80000000" w:csb1="00000000"/>
    <w:embedRegular r:id="rId6" w:fontKey="{53A93A58-37DD-49A9-8FA0-81B7F56362E1}"/>
  </w:font>
  <w:font w:name="Ebrima">
    <w:panose1 w:val="02000000000000000000"/>
    <w:charset w:val="00"/>
    <w:family w:val="auto"/>
    <w:pitch w:val="default"/>
    <w:sig w:usb0="A000505F" w:usb1="02000041" w:usb2="00000800" w:usb3="00000404" w:csb0="00000093" w:csb1="00000000"/>
    <w:embedRegular r:id="rId7" w:fontKey="{D5AE35E2-4314-4852-AA9A-FD85CE8EE46C}"/>
  </w:font>
  <w:font w:name="Georgia">
    <w:panose1 w:val="02040502050405020303"/>
    <w:charset w:val="00"/>
    <w:family w:val="roman"/>
    <w:pitch w:val="default"/>
    <w:sig w:usb0="00000287" w:usb1="00000000" w:usb2="00000000" w:usb3="00000000" w:csb0="2000009F" w:csb1="00000000"/>
    <w:embedRegular r:id="rId8" w:fontKey="{0A098BC3-81C6-4B23-BD5F-BCB2FCF8FDA8}"/>
  </w:font>
  <w:font w:name="等线">
    <w:altName w:val="Microsoft YaHei"/>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0CAB5">
    <w:pPr>
      <w:pBdr>
        <w:top w:val="none" w:color="auto" w:sz="0" w:space="0"/>
        <w:left w:val="none" w:color="auto" w:sz="0" w:space="0"/>
        <w:bottom w:val="none" w:color="auto" w:sz="0" w:space="0"/>
        <w:right w:val="none" w:color="auto" w:sz="0" w:space="0"/>
        <w:between w:val="none" w:color="auto" w:sz="0" w:space="0"/>
      </w:pBdr>
      <w:tabs>
        <w:tab w:val="center" w:pos="4395"/>
        <w:tab w:val="center" w:pos="4680"/>
        <w:tab w:val="right" w:pos="8788"/>
        <w:tab w:val="right" w:pos="9360"/>
      </w:tabs>
      <w:rPr>
        <w:color w:val="000000"/>
        <w:sz w:val="18"/>
        <w:szCs w:val="18"/>
      </w:rPr>
    </w:pPr>
    <w:r>
      <w:rPr>
        <w:i/>
        <w:color w:val="000000"/>
        <w:sz w:val="18"/>
        <w:szCs w:val="18"/>
      </w:rPr>
      <mc:AlternateContent>
        <mc:Choice Requires="wps">
          <w:drawing>
            <wp:inline distT="0" distB="0" distL="0" distR="0">
              <wp:extent cx="0" cy="34925"/>
              <wp:effectExtent l="0" t="0" r="0" b="0"/>
              <wp:docPr id="22" name="Straight Arrow Connector 22"/>
              <wp:cNvGraphicFramePr/>
              <a:graphic xmlns:a="http://schemas.openxmlformats.org/drawingml/2006/main">
                <a:graphicData uri="http://schemas.microsoft.com/office/word/2010/wordprocessingShape">
                  <wps:wsp>
                    <wps:cNvCnPr/>
                    <wps:spPr>
                      <a:xfrm>
                        <a:off x="2466000" y="3780000"/>
                        <a:ext cx="5760000" cy="0"/>
                      </a:xfrm>
                      <a:prstGeom prst="straightConnector1">
                        <a:avLst/>
                      </a:prstGeom>
                      <a:noFill/>
                      <a:ln w="34925" cap="flat" cmpd="sng">
                        <a:solidFill>
                          <a:schemeClr val="dk1"/>
                        </a:solidFill>
                        <a:prstDash val="solid"/>
                        <a:miter lim="800000"/>
                        <a:headEnd type="none" w="sm" len="sm"/>
                        <a:tailEnd type="none" w="sm" len="sm"/>
                      </a:ln>
                    </wps:spPr>
                    <wps:bodyPr/>
                  </wps:wsp>
                </a:graphicData>
              </a:graphic>
            </wp:inline>
          </w:drawing>
        </mc:Choice>
        <mc:Fallback>
          <w:pict>
            <v:shape id="_x0000_s1026" o:spid="_x0000_s1026" o:spt="32" type="#_x0000_t32" style="height:2.75pt;width:0pt;" filled="f" stroked="t" coordsize="21600,21600" o:gfxdata="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go/ErSAAAAAAEAAA8AAAAAAAAAAQAgAAAAIgAAAGRycy9kb3ducmV2Lnht&#10;bFBLAQIUABQAAAAIAIdO4kDEMWWp/wEAABwEAAAOAAAAAAAAAAEAIAAAACEBAABkcnMvZTJvRG9j&#10;LnhtbFBLBQYAAAAABgAGAFkBAACSBQAAAAA=&#10;">
              <v:fill on="f" focussize="0,0"/>
              <v:stroke weight="2.75pt" color="#000000 [3200]" miterlimit="8" joinstyle="miter" startarrowwidth="narrow" startarrowlength="short" endarrowwidth="narrow" endarrowlength="short"/>
              <v:imagedata o:title=""/>
              <o:lock v:ext="edit" aspectratio="f"/>
              <w10:wrap type="none"/>
              <w10:anchorlock/>
            </v:shape>
          </w:pict>
        </mc:Fallback>
      </mc:AlternateContent>
    </w:r>
    <w:r>
      <w:rPr>
        <w:i/>
        <w:color w:val="000000"/>
        <w:sz w:val="16"/>
        <w:szCs w:val="16"/>
      </w:rPr>
      <w:tab/>
    </w:r>
    <w:r>
      <w:rPr>
        <w:i/>
        <w:color w:val="000000"/>
        <w:sz w:val="18"/>
        <w:szCs w:val="18"/>
      </w:rPr>
      <w:t>First Author et.al (Title of paper shortly)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AB3DA">
    <w:pPr>
      <w:pBdr>
        <w:top w:val="none" w:color="auto" w:sz="0" w:space="0"/>
        <w:left w:val="none" w:color="auto" w:sz="0" w:space="0"/>
        <w:bottom w:val="none" w:color="auto" w:sz="0" w:space="0"/>
        <w:right w:val="none" w:color="auto" w:sz="0" w:space="0"/>
        <w:between w:val="none" w:color="auto" w:sz="0" w:space="0"/>
      </w:pBdr>
      <w:tabs>
        <w:tab w:val="center" w:pos="4395"/>
        <w:tab w:val="center" w:pos="4680"/>
        <w:tab w:val="right" w:pos="9360"/>
      </w:tabs>
      <w:rPr>
        <w:color w:val="000000"/>
        <w:sz w:val="18"/>
        <w:szCs w:val="18"/>
      </w:rPr>
    </w:pPr>
    <w:r>
      <w:rPr>
        <w:color w:val="000000"/>
      </w:rPr>
      <w:tab/>
    </w:r>
    <w:r>
      <w:rPr>
        <w:i/>
        <w:color w:val="000000"/>
        <w:sz w:val="18"/>
        <w:szCs w:val="18"/>
      </w:rPr>
      <w:t>First Author et.al (Title of paper shortly….)</w:t>
    </w:r>
    <w:r>
      <mc:AlternateContent>
        <mc:Choice Requires="wps">
          <w:drawing>
            <wp:anchor distT="0" distB="0" distL="114300" distR="114300" simplePos="0" relativeHeight="251660288" behindDoc="0" locked="0" layoutInCell="1" allowOverlap="1">
              <wp:simplePos x="0" y="0"/>
              <wp:positionH relativeFrom="column">
                <wp:posOffset>-37465</wp:posOffset>
              </wp:positionH>
              <wp:positionV relativeFrom="paragraph">
                <wp:posOffset>-151765</wp:posOffset>
              </wp:positionV>
              <wp:extent cx="0" cy="34925"/>
              <wp:effectExtent l="0" t="0" r="0" b="0"/>
              <wp:wrapNone/>
              <wp:docPr id="18" name="Straight Arrow Connector 18"/>
              <wp:cNvGraphicFramePr/>
              <a:graphic xmlns:a="http://schemas.openxmlformats.org/drawingml/2006/main">
                <a:graphicData uri="http://schemas.microsoft.com/office/word/2010/wordprocessingShape">
                  <wps:wsp>
                    <wps:cNvCnPr/>
                    <wps:spPr>
                      <a:xfrm>
                        <a:off x="2466000" y="3780000"/>
                        <a:ext cx="5760000" cy="0"/>
                      </a:xfrm>
                      <a:prstGeom prst="straightConnector1">
                        <a:avLst/>
                      </a:prstGeom>
                      <a:noFill/>
                      <a:ln w="34925" cap="flat" cmpd="sng">
                        <a:solidFill>
                          <a:schemeClr val="dk1"/>
                        </a:solidFill>
                        <a:prstDash val="solid"/>
                        <a:miter lim="800000"/>
                        <a:headEnd type="none" w="sm" len="sm"/>
                        <a:tailEnd type="none" w="sm" len="sm"/>
                      </a:ln>
                    </wps:spPr>
                    <wps:bodyPr/>
                  </wps:wsp>
                </a:graphicData>
              </a:graphic>
            </wp:anchor>
          </w:drawing>
        </mc:Choice>
        <mc:Fallback>
          <w:pict>
            <v:shape id="_x0000_s1026" o:spid="_x0000_s1026" o:spt="32" type="#_x0000_t32" style="position:absolute;left:0pt;margin-left:-2.95pt;margin-top:-11.95pt;height:2.75pt;width:0pt;z-index:251660288;mso-width-relative:page;mso-height-relative:page;" filled="f" stroked="t" coordsize="21600,21600" o:gfxdata="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FN8G32AAAAAkBAAAPAAAAAAAAAAEAIAAAACIAAABkcnMvZG93&#10;bnJldi54bWxQSwECFAAUAAAACACHTuJAihjNCQACAAAcBAAADgAAAAAAAAABACAAAAAnAQAAZHJz&#10;L2Uyb0RvYy54bWxQSwUGAAAAAAYABgBZAQAAmQUAAAAA&#10;">
              <v:fill on="f" focussize="0,0"/>
              <v:stroke weight="2.75pt" color="#000000 [3200]" miterlimit="8" joinstyle="miter" startarrowwidth="narrow" startarrowlength="short" endarrowwidth="narrow" endarrowlength="short"/>
              <v:imagedata o:title=""/>
              <o:lock v:ext="edit" aspectratio="f"/>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754F5">
    <w:pPr>
      <w:spacing w:line="360" w:lineRule="auto"/>
      <w:jc w:val="center"/>
      <w:rPr>
        <w:rFonts w:ascii="Calibri" w:hAnsi="Calibri" w:eastAsia="Calibri" w:cs="Calibri"/>
        <w:sz w:val="18"/>
        <w:szCs w:val="18"/>
      </w:rPr>
    </w:pPr>
    <w:r>
      <w:rPr>
        <w:i/>
        <w:sz w:val="18"/>
        <w:szCs w:val="18"/>
      </w:rPr>
      <mc:AlternateContent>
        <mc:Choice Requires="wps">
          <w:drawing>
            <wp:inline distT="0" distB="0" distL="0" distR="0">
              <wp:extent cx="0" cy="34925"/>
              <wp:effectExtent l="0" t="0" r="0" b="0"/>
              <wp:docPr id="21" name="Straight Arrow Connector 21"/>
              <wp:cNvGraphicFramePr/>
              <a:graphic xmlns:a="http://schemas.openxmlformats.org/drawingml/2006/main">
                <a:graphicData uri="http://schemas.microsoft.com/office/word/2010/wordprocessingShape">
                  <wps:wsp>
                    <wps:cNvCnPr/>
                    <wps:spPr>
                      <a:xfrm>
                        <a:off x="2466000" y="3780000"/>
                        <a:ext cx="5760000" cy="0"/>
                      </a:xfrm>
                      <a:prstGeom prst="straightConnector1">
                        <a:avLst/>
                      </a:prstGeom>
                      <a:noFill/>
                      <a:ln w="34925" cap="flat" cmpd="sng">
                        <a:solidFill>
                          <a:schemeClr val="dk1"/>
                        </a:solidFill>
                        <a:prstDash val="solid"/>
                        <a:miter lim="800000"/>
                        <a:headEnd type="none" w="sm" len="sm"/>
                        <a:tailEnd type="none" w="sm" len="sm"/>
                      </a:ln>
                    </wps:spPr>
                    <wps:bodyPr/>
                  </wps:wsp>
                </a:graphicData>
              </a:graphic>
            </wp:inline>
          </w:drawing>
        </mc:Choice>
        <mc:Fallback>
          <w:pict>
            <v:shape id="_x0000_s1026" o:spid="_x0000_s1026" o:spt="32" type="#_x0000_t32" style="height:2.75pt;width:0pt;" filled="f" stroked="t" coordsize="21600,21600" o:gfxdata="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go/ErSAAAAAAEAAA8AAAAAAAAAAQAgAAAAIgAAAGRycy9kb3ducmV2Lnht&#10;bFBLAQIUABQAAAAIAIdO4kCMrsxg/wEAABwEAAAOAAAAAAAAAAEAIAAAACEBAABkcnMvZTJvRG9j&#10;LnhtbFBLBQYAAAAABgAGAFkBAACSBQAAAAA=&#10;">
              <v:fill on="f" focussize="0,0"/>
              <v:stroke weight="2.75pt" color="#000000 [3200]" miterlimit="8" joinstyle="miter" startarrowwidth="narrow" startarrowlength="short" endarrowwidth="narrow" endarrowlength="short"/>
              <v:imagedata o:title=""/>
              <o:lock v:ext="edit" aspectratio="f"/>
              <w10:wrap type="none"/>
              <w10:anchorlock/>
            </v:shape>
          </w:pict>
        </mc:Fallback>
      </mc:AlternateContent>
    </w:r>
    <w:r>
      <w:rPr>
        <w:i/>
        <w:sz w:val="18"/>
        <w:szCs w:val="18"/>
      </w:rPr>
      <w:t>First Author et.al (Title of paper shortly….)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96545">
    <w:pPr>
      <w:pBdr>
        <w:top w:val="none" w:color="auto" w:sz="0" w:space="0"/>
        <w:left w:val="none" w:color="auto" w:sz="0" w:space="0"/>
        <w:bottom w:val="none" w:color="auto" w:sz="0" w:space="0"/>
        <w:right w:val="none" w:color="auto" w:sz="0" w:space="0"/>
        <w:between w:val="none" w:color="auto" w:sz="0" w:space="0"/>
      </w:pBdr>
      <w:tabs>
        <w:tab w:val="center" w:pos="4111"/>
        <w:tab w:val="center" w:pos="4395"/>
        <w:tab w:val="right" w:pos="8789"/>
      </w:tabs>
      <w:spacing w:after="0" w:line="240" w:lineRule="auto"/>
      <w:rPr>
        <w:color w:val="000000"/>
        <w:sz w:val="18"/>
        <w:szCs w:val="18"/>
      </w:rPr>
    </w:pPr>
  </w:p>
  <w:p w14:paraId="36CEC908">
    <w:pPr>
      <w:pBdr>
        <w:top w:val="none" w:color="auto" w:sz="0" w:space="0"/>
        <w:left w:val="none" w:color="auto" w:sz="0" w:space="0"/>
        <w:bottom w:val="none" w:color="auto" w:sz="0" w:space="0"/>
        <w:right w:val="none" w:color="auto" w:sz="0" w:space="0"/>
        <w:between w:val="none" w:color="auto" w:sz="0" w:space="0"/>
      </w:pBdr>
      <w:tabs>
        <w:tab w:val="center" w:pos="4111"/>
        <w:tab w:val="center" w:pos="4395"/>
        <w:tab w:val="right" w:pos="8789"/>
      </w:tabs>
      <w:spacing w:after="0" w:line="240" w:lineRule="auto"/>
      <w:rPr>
        <w:color w:val="0563C1"/>
        <w:sz w:val="18"/>
        <w:szCs w:val="18"/>
      </w:rPr>
    </w:pPr>
    <w:r>
      <w:rPr>
        <w:color w:val="000000"/>
        <w:sz w:val="18"/>
        <w:szCs w:val="18"/>
      </w:rPr>
      <w:t xml:space="preserve">p-ISSN </w:t>
    </w:r>
    <w:r>
      <w:fldChar w:fldCharType="begin"/>
    </w:r>
    <w:r>
      <w:instrText xml:space="preserve"> HYPERLINK "http://issn.pdii.lipi.go.id/issn.cgi?daftar&amp;1452078037&amp;1&amp;&amp;" \h </w:instrText>
    </w:r>
    <w:r>
      <w:fldChar w:fldCharType="separate"/>
    </w:r>
    <w:r>
      <w:rPr>
        <w:color w:val="0563C1"/>
        <w:sz w:val="18"/>
        <w:szCs w:val="18"/>
      </w:rPr>
      <w:t>1693-1378</w:t>
    </w:r>
    <w:r>
      <w:rPr>
        <w:color w:val="0563C1"/>
        <w:sz w:val="18"/>
        <w:szCs w:val="18"/>
      </w:rPr>
      <w:fldChar w:fldCharType="end"/>
    </w:r>
  </w:p>
  <w:p w14:paraId="3602FDE4">
    <w:pPr>
      <w:pBdr>
        <w:top w:val="none" w:color="auto" w:sz="0" w:space="0"/>
        <w:left w:val="none" w:color="auto" w:sz="0" w:space="0"/>
        <w:bottom w:val="none" w:color="auto" w:sz="0" w:space="0"/>
        <w:right w:val="none" w:color="auto" w:sz="0" w:space="0"/>
        <w:between w:val="none" w:color="auto" w:sz="0" w:space="0"/>
      </w:pBdr>
      <w:tabs>
        <w:tab w:val="center" w:pos="4111"/>
        <w:tab w:val="center" w:pos="4395"/>
        <w:tab w:val="right" w:pos="8789"/>
      </w:tabs>
      <w:spacing w:after="0" w:line="240" w:lineRule="auto"/>
      <w:rPr>
        <w:color w:val="000000"/>
        <w:sz w:val="18"/>
        <w:szCs w:val="18"/>
      </w:rPr>
    </w:pPr>
    <w:r>
      <w:rPr>
        <w:color w:val="000000"/>
        <w:sz w:val="18"/>
        <w:szCs w:val="18"/>
      </w:rPr>
      <w:t xml:space="preserve">p-ISSN </w:t>
    </w:r>
    <w:r>
      <w:fldChar w:fldCharType="begin"/>
    </w:r>
    <w:r>
      <w:instrText xml:space="preserve"> HYPERLINK "http://issn.pdii.lipi.go.id/issn.cgi?daftar&amp;1452078037&amp;1&amp;&amp;" \h </w:instrText>
    </w:r>
    <w:r>
      <w:fldChar w:fldCharType="separate"/>
    </w:r>
    <w:r>
      <w:rPr>
        <w:color w:val="0563C1"/>
        <w:sz w:val="18"/>
        <w:szCs w:val="18"/>
      </w:rPr>
      <w:t>2598-9952</w:t>
    </w:r>
    <w:r>
      <w:rPr>
        <w:color w:val="0563C1"/>
        <w:sz w:val="18"/>
        <w:szCs w:val="18"/>
      </w:rPr>
      <w:fldChar w:fldCharType="end"/>
    </w:r>
    <w:r>
      <w:rPr>
        <w:color w:val="000000"/>
        <w:sz w:val="18"/>
        <w:szCs w:val="18"/>
      </w:rPr>
      <w:tab/>
    </w:r>
  </w:p>
  <w:p w14:paraId="2BD2E055">
    <w:pPr>
      <w:pBdr>
        <w:top w:val="none" w:color="auto" w:sz="0" w:space="0"/>
        <w:left w:val="none" w:color="auto" w:sz="0" w:space="0"/>
        <w:bottom w:val="none" w:color="auto" w:sz="0" w:space="0"/>
        <w:right w:val="none" w:color="auto" w:sz="0" w:space="0"/>
        <w:between w:val="none" w:color="auto" w:sz="0" w:space="0"/>
      </w:pBdr>
      <w:tabs>
        <w:tab w:val="center" w:pos="4111"/>
        <w:tab w:val="right" w:pos="8789"/>
      </w:tabs>
      <w:spacing w:after="0" w:line="240" w:lineRule="auto"/>
      <w:ind w:firstLine="2410"/>
      <w:rPr>
        <w:color w:val="000000"/>
        <w:sz w:val="18"/>
        <w:szCs w:val="18"/>
      </w:rPr>
    </w:pPr>
    <w:r>
      <w:rPr>
        <w:color w:val="000000"/>
        <w:sz w:val="18"/>
        <w:szCs w:val="18"/>
      </w:rPr>
      <w:t>Equilibrium: Jurnal Ekonomi-Manajemen-Akuntansi</w:t>
    </w:r>
    <w:r>
      <w:rPr>
        <w:color w:val="000000"/>
        <w:sz w:val="18"/>
        <w:szCs w:val="18"/>
      </w:rPr>
      <w:tab/>
    </w:r>
    <w:r>
      <w:rPr>
        <w:b/>
        <w:color w:val="000000"/>
      </w:rPr>
      <w:fldChar w:fldCharType="begin"/>
    </w:r>
    <w:r>
      <w:rPr>
        <w:b/>
        <w:color w:val="000000"/>
      </w:rPr>
      <w:instrText xml:space="preserve">PAGE</w:instrText>
    </w:r>
    <w:r>
      <w:rPr>
        <w:b/>
        <w:color w:val="000000"/>
      </w:rPr>
      <w:fldChar w:fldCharType="separate"/>
    </w:r>
    <w:r>
      <w:rPr>
        <w:b/>
        <w:color w:val="000000"/>
      </w:rPr>
      <w:t>3</w:t>
    </w:r>
    <w:r>
      <w:rPr>
        <w:b/>
        <w:color w:val="000000"/>
      </w:rPr>
      <w:fldChar w:fldCharType="end"/>
    </w:r>
  </w:p>
  <w:p w14:paraId="53F4E1D0">
    <w:pPr>
      <w:pBdr>
        <w:top w:val="none" w:color="auto" w:sz="0" w:space="0"/>
        <w:left w:val="none" w:color="auto" w:sz="0" w:space="0"/>
        <w:bottom w:val="none" w:color="auto" w:sz="0" w:space="0"/>
        <w:right w:val="none" w:color="auto" w:sz="0" w:space="0"/>
        <w:between w:val="none" w:color="auto" w:sz="0" w:space="0"/>
      </w:pBdr>
      <w:tabs>
        <w:tab w:val="center" w:pos="4111"/>
        <w:tab w:val="right" w:pos="8789"/>
      </w:tabs>
      <w:spacing w:after="0" w:line="240" w:lineRule="auto"/>
      <w:rPr>
        <w:i/>
        <w:color w:val="000000"/>
        <w:sz w:val="18"/>
        <w:szCs w:val="18"/>
      </w:rPr>
    </w:pPr>
    <w:r>
      <w:rPr>
        <w:color w:val="000000"/>
        <w:sz w:val="18"/>
        <w:szCs w:val="18"/>
      </w:rPr>
      <w:tab/>
    </w:r>
    <w:r>
      <w:rPr>
        <w:color w:val="000000"/>
        <w:sz w:val="18"/>
        <w:szCs w:val="18"/>
      </w:rPr>
      <w:t xml:space="preserve">          </w:t>
    </w:r>
    <w:r>
      <w:rPr>
        <w:i/>
        <w:color w:val="000000"/>
        <w:sz w:val="18"/>
        <w:szCs w:val="18"/>
      </w:rPr>
      <w:t>Vol. 1, No. 1, Januari 2025, pp. xx-xx</w:t>
    </w:r>
    <w:r>
      <w:rPr>
        <w:i/>
        <w:color w:val="000000"/>
        <w:sz w:val="18"/>
        <w:szCs w:val="18"/>
      </w:rPr>
      <mc:AlternateContent>
        <mc:Choice Requires="wps">
          <w:drawing>
            <wp:inline distT="0" distB="0" distL="0" distR="0">
              <wp:extent cx="0" cy="34925"/>
              <wp:effectExtent l="0" t="0" r="0" b="0"/>
              <wp:docPr id="20" name="Straight Arrow Connector 20"/>
              <wp:cNvGraphicFramePr/>
              <a:graphic xmlns:a="http://schemas.openxmlformats.org/drawingml/2006/main">
                <a:graphicData uri="http://schemas.microsoft.com/office/word/2010/wordprocessingShape">
                  <wps:wsp>
                    <wps:cNvCnPr/>
                    <wps:spPr>
                      <a:xfrm>
                        <a:off x="2466000" y="3780000"/>
                        <a:ext cx="5760000" cy="0"/>
                      </a:xfrm>
                      <a:prstGeom prst="straightConnector1">
                        <a:avLst/>
                      </a:prstGeom>
                      <a:noFill/>
                      <a:ln w="34925" cap="flat" cmpd="sng">
                        <a:solidFill>
                          <a:schemeClr val="dk1"/>
                        </a:solidFill>
                        <a:prstDash val="solid"/>
                        <a:miter lim="800000"/>
                        <a:headEnd type="none" w="sm" len="sm"/>
                        <a:tailEnd type="none" w="sm" len="sm"/>
                      </a:ln>
                    </wps:spPr>
                    <wps:bodyPr/>
                  </wps:wsp>
                </a:graphicData>
              </a:graphic>
            </wp:inline>
          </w:drawing>
        </mc:Choice>
        <mc:Fallback>
          <w:pict>
            <v:shape id="_x0000_s1026" o:spid="_x0000_s1026" o:spt="32" type="#_x0000_t32" style="height:2.75pt;width:0pt;" filled="f" stroked="t" coordsize="21600,21600" o:gfxdata="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go/ErSAAAAAAEAAA8AAAAAAAAAAQAgAAAAIgAAAGRycy9kb3ducmV2Lnht&#10;bFBLAQIUABQAAAAIAIdO4kC026sn/wEAABwEAAAOAAAAAAAAAAEAIAAAACEBAABkcnMvZTJvRG9j&#10;LnhtbFBLBQYAAAAABgAGAFkBAACSBQAAAAA=&#10;">
              <v:fill on="f" focussize="0,0"/>
              <v:stroke weight="2.75pt" color="#000000 [3200]" miterlimit="8" joinstyle="miter" startarrowwidth="narrow" startarrowlength="short" endarrowwidth="narrow" endarrowlength="short"/>
              <v:imagedata o:title=""/>
              <o:lock v:ext="edit" aspectratio="f"/>
              <w10:wrap type="non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B9874">
    <w:pPr>
      <w:pBdr>
        <w:top w:val="none" w:color="auto" w:sz="0" w:space="0"/>
        <w:left w:val="none" w:color="auto" w:sz="0" w:space="0"/>
        <w:bottom w:val="none" w:color="auto" w:sz="0" w:space="0"/>
        <w:right w:val="none" w:color="auto" w:sz="0" w:space="0"/>
        <w:between w:val="none" w:color="auto" w:sz="0" w:space="0"/>
      </w:pBdr>
      <w:tabs>
        <w:tab w:val="center" w:pos="4111"/>
        <w:tab w:val="center" w:pos="8080"/>
        <w:tab w:val="right" w:pos="8789"/>
      </w:tabs>
      <w:spacing w:after="0" w:line="240" w:lineRule="auto"/>
      <w:ind w:right="566"/>
      <w:jc w:val="right"/>
      <w:rPr>
        <w:color w:val="0563C1"/>
        <w:sz w:val="18"/>
        <w:szCs w:val="18"/>
      </w:rPr>
    </w:pPr>
    <w:r>
      <w:rPr>
        <w:b/>
        <w:color w:val="000000"/>
      </w:rPr>
      <w:fldChar w:fldCharType="begin"/>
    </w:r>
    <w:r>
      <w:rPr>
        <w:b/>
        <w:color w:val="000000"/>
      </w:rPr>
      <w:instrText xml:space="preserve">PAGE</w:instrText>
    </w:r>
    <w:r>
      <w:rPr>
        <w:b/>
        <w:color w:val="000000"/>
      </w:rPr>
      <w:fldChar w:fldCharType="separate"/>
    </w:r>
    <w:r>
      <w:rPr>
        <w:b/>
        <w:color w:val="000000"/>
      </w:rPr>
      <w:t>2</w:t>
    </w:r>
    <w:r>
      <w:rPr>
        <w:b/>
        <w:color w:val="000000"/>
      </w:rPr>
      <w:fldChar w:fldCharType="end"/>
    </w:r>
    <w:r>
      <w:rPr>
        <w:color w:val="000000"/>
        <w:sz w:val="18"/>
        <w:szCs w:val="18"/>
      </w:rPr>
      <w:tab/>
    </w:r>
    <w:r>
      <w:rPr>
        <w:color w:val="000000"/>
        <w:sz w:val="18"/>
        <w:szCs w:val="18"/>
      </w:rPr>
      <w:t xml:space="preserve">p-ISSN </w:t>
    </w:r>
    <w:r>
      <w:fldChar w:fldCharType="begin"/>
    </w:r>
    <w:r>
      <w:instrText xml:space="preserve"> HYPERLINK "http://issn.pdii.lipi.go.id/issn.cgi?daftar&amp;1452078037&amp;1&amp;&amp;" \h </w:instrText>
    </w:r>
    <w:r>
      <w:fldChar w:fldCharType="separate"/>
    </w:r>
    <w:r>
      <w:rPr>
        <w:color w:val="0563C1"/>
        <w:sz w:val="18"/>
        <w:szCs w:val="18"/>
      </w:rPr>
      <w:t>1693-1378</w:t>
    </w:r>
    <w:r>
      <w:rPr>
        <w:color w:val="0563C1"/>
        <w:sz w:val="18"/>
        <w:szCs w:val="18"/>
      </w:rPr>
      <w:fldChar w:fldCharType="end"/>
    </w:r>
  </w:p>
  <w:p w14:paraId="07D45197">
    <w:pPr>
      <w:pBdr>
        <w:top w:val="none" w:color="auto" w:sz="0" w:space="0"/>
        <w:left w:val="none" w:color="auto" w:sz="0" w:space="0"/>
        <w:bottom w:val="none" w:color="auto" w:sz="0" w:space="0"/>
        <w:right w:val="none" w:color="auto" w:sz="0" w:space="0"/>
        <w:between w:val="none" w:color="auto" w:sz="0" w:space="0"/>
      </w:pBdr>
      <w:tabs>
        <w:tab w:val="center" w:pos="4111"/>
        <w:tab w:val="center" w:pos="8080"/>
        <w:tab w:val="right" w:pos="8789"/>
      </w:tabs>
      <w:spacing w:after="0" w:line="240" w:lineRule="auto"/>
      <w:ind w:right="566"/>
      <w:jc w:val="right"/>
      <w:rPr>
        <w:color w:val="000000"/>
        <w:sz w:val="18"/>
        <w:szCs w:val="18"/>
      </w:rPr>
    </w:pPr>
    <w:r>
      <w:rPr>
        <w:color w:val="000000"/>
        <w:sz w:val="18"/>
        <w:szCs w:val="18"/>
      </w:rPr>
      <w:t xml:space="preserve">e-ISSN </w:t>
    </w:r>
    <w:r>
      <w:fldChar w:fldCharType="begin"/>
    </w:r>
    <w:r>
      <w:instrText xml:space="preserve"> HYPERLINK "http://issn.pdii.lipi.go.id/issn.cgi?daftar&amp;1452078037&amp;1&amp;&amp;" \h </w:instrText>
    </w:r>
    <w:r>
      <w:fldChar w:fldCharType="separate"/>
    </w:r>
    <w:r>
      <w:rPr>
        <w:color w:val="0563C1"/>
        <w:sz w:val="18"/>
        <w:szCs w:val="18"/>
      </w:rPr>
      <w:t>2598-9952</w:t>
    </w:r>
    <w:r>
      <w:rPr>
        <w:color w:val="0563C1"/>
        <w:sz w:val="18"/>
        <w:szCs w:val="18"/>
      </w:rPr>
      <w:fldChar w:fldCharType="end"/>
    </w:r>
  </w:p>
  <w:p w14:paraId="774AD137">
    <w:pPr>
      <w:pBdr>
        <w:top w:val="none" w:color="auto" w:sz="0" w:space="0"/>
        <w:left w:val="none" w:color="auto" w:sz="0" w:space="0"/>
        <w:bottom w:val="none" w:color="auto" w:sz="0" w:space="0"/>
        <w:right w:val="none" w:color="auto" w:sz="0" w:space="0"/>
        <w:between w:val="none" w:color="auto" w:sz="0" w:space="0"/>
      </w:pBdr>
      <w:tabs>
        <w:tab w:val="center" w:pos="4111"/>
        <w:tab w:val="center" w:pos="4395"/>
        <w:tab w:val="right" w:pos="8789"/>
      </w:tabs>
      <w:spacing w:after="0" w:line="240" w:lineRule="auto"/>
      <w:rPr>
        <w:color w:val="000000"/>
        <w:sz w:val="18"/>
        <w:szCs w:val="18"/>
      </w:rPr>
    </w:pPr>
  </w:p>
  <w:p w14:paraId="0C491023">
    <w:pPr>
      <w:pBdr>
        <w:top w:val="none" w:color="auto" w:sz="0" w:space="0"/>
        <w:left w:val="none" w:color="auto" w:sz="0" w:space="0"/>
        <w:bottom w:val="none" w:color="auto" w:sz="0" w:space="0"/>
        <w:right w:val="none" w:color="auto" w:sz="0" w:space="0"/>
        <w:between w:val="none" w:color="auto" w:sz="0" w:space="0"/>
      </w:pBdr>
      <w:tabs>
        <w:tab w:val="center" w:pos="4111"/>
        <w:tab w:val="center" w:pos="4395"/>
        <w:tab w:val="right" w:pos="8789"/>
      </w:tabs>
      <w:spacing w:after="0" w:line="240" w:lineRule="auto"/>
      <w:jc w:val="center"/>
      <w:rPr>
        <w:color w:val="000000"/>
        <w:sz w:val="18"/>
        <w:szCs w:val="18"/>
      </w:rPr>
    </w:pPr>
    <w:r>
      <w:rPr>
        <w:color w:val="000000"/>
        <w:sz w:val="18"/>
        <w:szCs w:val="18"/>
      </w:rPr>
      <w:t>Equilibrium: Jurnal Ekonomi-Manajemen-Akuntansi</w:t>
    </w:r>
  </w:p>
  <w:p w14:paraId="69FCCA95">
    <w:pPr>
      <w:pBdr>
        <w:top w:val="none" w:color="auto" w:sz="0" w:space="0"/>
        <w:left w:val="none" w:color="auto" w:sz="0" w:space="0"/>
        <w:bottom w:val="none" w:color="auto" w:sz="0" w:space="0"/>
        <w:right w:val="none" w:color="auto" w:sz="0" w:space="0"/>
        <w:between w:val="none" w:color="auto" w:sz="0" w:space="0"/>
      </w:pBdr>
      <w:tabs>
        <w:tab w:val="center" w:pos="4111"/>
        <w:tab w:val="center" w:pos="4395"/>
        <w:tab w:val="right" w:pos="8789"/>
      </w:tabs>
      <w:spacing w:after="0" w:line="240" w:lineRule="auto"/>
      <w:rPr>
        <w:i/>
        <w:color w:val="000000"/>
        <w:sz w:val="18"/>
        <w:szCs w:val="18"/>
      </w:rPr>
    </w:pPr>
    <w:r>
      <w:rPr>
        <w:i/>
        <w:color w:val="000000"/>
        <w:sz w:val="18"/>
        <w:szCs w:val="18"/>
      </w:rPr>
      <w:tab/>
    </w:r>
    <w:r>
      <w:rPr>
        <w:i/>
        <w:color w:val="000000"/>
        <w:sz w:val="18"/>
        <w:szCs w:val="18"/>
      </w:rPr>
      <w:t>Vol. 1, No. 1, Januari 2025, pp. xx-xx</w:t>
    </w:r>
  </w:p>
  <w:p w14:paraId="21F494FE">
    <w:pPr>
      <w:pBdr>
        <w:top w:val="none" w:color="auto" w:sz="0" w:space="0"/>
        <w:left w:val="none" w:color="auto" w:sz="0" w:space="0"/>
        <w:bottom w:val="none" w:color="auto" w:sz="0" w:space="0"/>
        <w:right w:val="none" w:color="auto" w:sz="0" w:space="0"/>
        <w:between w:val="none" w:color="auto" w:sz="0" w:space="0"/>
      </w:pBdr>
      <w:tabs>
        <w:tab w:val="center" w:pos="4111"/>
        <w:tab w:val="center" w:pos="4395"/>
        <w:tab w:val="right" w:pos="8789"/>
      </w:tabs>
      <w:spacing w:after="0" w:line="240" w:lineRule="auto"/>
      <w:rPr>
        <w:i/>
        <w:color w:val="000000"/>
        <w:sz w:val="18"/>
        <w:szCs w:val="18"/>
      </w:rPr>
    </w:pPr>
    <w:r>
      <w:rPr>
        <w:i/>
        <w:color w:val="000000"/>
        <w:sz w:val="18"/>
        <w:szCs w:val="18"/>
      </w:rPr>
      <mc:AlternateContent>
        <mc:Choice Requires="wps">
          <w:drawing>
            <wp:inline distT="0" distB="0" distL="0" distR="0">
              <wp:extent cx="0" cy="34925"/>
              <wp:effectExtent l="0" t="0" r="0" b="0"/>
              <wp:docPr id="19" name="Straight Arrow Connector 19"/>
              <wp:cNvGraphicFramePr/>
              <a:graphic xmlns:a="http://schemas.openxmlformats.org/drawingml/2006/main">
                <a:graphicData uri="http://schemas.microsoft.com/office/word/2010/wordprocessingShape">
                  <wps:wsp>
                    <wps:cNvCnPr/>
                    <wps:spPr>
                      <a:xfrm>
                        <a:off x="2466000" y="3780000"/>
                        <a:ext cx="5760000" cy="0"/>
                      </a:xfrm>
                      <a:prstGeom prst="straightConnector1">
                        <a:avLst/>
                      </a:prstGeom>
                      <a:noFill/>
                      <a:ln w="34925" cap="flat" cmpd="sng">
                        <a:solidFill>
                          <a:schemeClr val="dk1"/>
                        </a:solidFill>
                        <a:prstDash val="solid"/>
                        <a:miter lim="800000"/>
                        <a:headEnd type="none" w="sm" len="sm"/>
                        <a:tailEnd type="none" w="sm" len="sm"/>
                      </a:ln>
                    </wps:spPr>
                    <wps:bodyPr/>
                  </wps:wsp>
                </a:graphicData>
              </a:graphic>
            </wp:inline>
          </w:drawing>
        </mc:Choice>
        <mc:Fallback>
          <w:pict>
            <v:shape id="_x0000_s1026" o:spid="_x0000_s1026" o:spt="32" type="#_x0000_t32" style="height:2.75pt;width:0pt;" filled="f" stroked="t" coordsize="21600,21600" o:gfxdata="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oKPxK0gAAAAABAAAPAAAAAAAAAAEAIAAAACIAAABkcnMvZG93bnJldi54&#10;bWxQSwECFAAUAAAACACHTuJAsm2qTgACAAAcBAAADgAAAAAAAAABACAAAAAhAQAAZHJzL2Uyb0Rv&#10;Yy54bWxQSwUGAAAAAAYABgBZAQAAkwUAAAAA&#10;">
              <v:fill on="f" focussize="0,0"/>
              <v:stroke weight="2.75pt" color="#000000 [3200]" miterlimit="8" joinstyle="miter" startarrowwidth="narrow" startarrowlength="short" endarrowwidth="narrow" endarrowlength="short"/>
              <v:imagedata o:title=""/>
              <o:lock v:ext="edit" aspectratio="f"/>
              <w10:wrap type="none"/>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7D59B">
    <w:pPr>
      <w:pBdr>
        <w:top w:val="none" w:color="auto" w:sz="0" w:space="0"/>
        <w:left w:val="none" w:color="auto" w:sz="0" w:space="0"/>
        <w:bottom w:val="none" w:color="auto" w:sz="0" w:space="0"/>
        <w:right w:val="none" w:color="auto" w:sz="0" w:space="0"/>
        <w:between w:val="none" w:color="auto" w:sz="0" w:space="0"/>
      </w:pBdr>
      <w:tabs>
        <w:tab w:val="center" w:pos="4111"/>
        <w:tab w:val="center" w:pos="8222"/>
        <w:tab w:val="right" w:pos="8789"/>
      </w:tabs>
      <w:spacing w:after="0" w:line="240" w:lineRule="auto"/>
      <w:rPr>
        <w:color w:val="0563C1"/>
        <w:sz w:val="18"/>
        <w:szCs w:val="18"/>
      </w:rPr>
    </w:pPr>
    <w:r>
      <w:rPr>
        <w:color w:val="000000"/>
        <w:sz w:val="18"/>
        <w:szCs w:val="18"/>
      </w:rPr>
      <w:t xml:space="preserve">p-ISSN </w:t>
    </w:r>
    <w:r>
      <w:fldChar w:fldCharType="begin"/>
    </w:r>
    <w:r>
      <w:instrText xml:space="preserve"> HYPERLINK "http://issn.pdii.lipi.go.id/issn.cgi?daftar&amp;1452078037&amp;1&amp;&amp;" \h </w:instrText>
    </w:r>
    <w:r>
      <w:fldChar w:fldCharType="separate"/>
    </w:r>
    <w:r>
      <w:rPr>
        <w:color w:val="0563C1"/>
        <w:sz w:val="18"/>
        <w:szCs w:val="18"/>
      </w:rPr>
      <w:t>1693-1378</w:t>
    </w:r>
    <w:r>
      <w:rPr>
        <w:color w:val="0563C1"/>
        <w:sz w:val="18"/>
        <w:szCs w:val="18"/>
      </w:rPr>
      <w:fldChar w:fldCharType="end"/>
    </w:r>
  </w:p>
  <w:p w14:paraId="685A4B8F">
    <w:pPr>
      <w:pBdr>
        <w:top w:val="none" w:color="auto" w:sz="0" w:space="0"/>
        <w:left w:val="none" w:color="auto" w:sz="0" w:space="0"/>
        <w:bottom w:val="none" w:color="auto" w:sz="0" w:space="0"/>
        <w:right w:val="none" w:color="auto" w:sz="0" w:space="0"/>
        <w:between w:val="none" w:color="auto" w:sz="0" w:space="0"/>
      </w:pBdr>
      <w:tabs>
        <w:tab w:val="center" w:pos="4111"/>
        <w:tab w:val="center" w:pos="8222"/>
        <w:tab w:val="right" w:pos="8789"/>
      </w:tabs>
      <w:spacing w:after="0" w:line="240" w:lineRule="auto"/>
      <w:rPr>
        <w:color w:val="000000"/>
        <w:sz w:val="18"/>
        <w:szCs w:val="18"/>
      </w:rPr>
    </w:pPr>
    <w:r>
      <w:rPr>
        <w:color w:val="000000"/>
        <w:sz w:val="18"/>
        <w:szCs w:val="18"/>
      </w:rPr>
      <w:t xml:space="preserve">e-ISSN </w:t>
    </w:r>
    <w:r>
      <w:fldChar w:fldCharType="begin"/>
    </w:r>
    <w:r>
      <w:instrText xml:space="preserve"> HYPERLINK "http://issn.pdii.lipi.go.id/issn.cgi?daftar&amp;1452078037&amp;1&amp;&amp;" \h </w:instrText>
    </w:r>
    <w:r>
      <w:fldChar w:fldCharType="separate"/>
    </w:r>
    <w:r>
      <w:rPr>
        <w:color w:val="0563C1"/>
        <w:sz w:val="18"/>
        <w:szCs w:val="18"/>
      </w:rPr>
      <w:t>2598-9952</w:t>
    </w:r>
    <w:r>
      <w:rPr>
        <w:color w:val="0563C1"/>
        <w:sz w:val="18"/>
        <w:szCs w:val="18"/>
      </w:rPr>
      <w:fldChar w:fldCharType="end"/>
    </w:r>
  </w:p>
  <w:p w14:paraId="6B11AC40">
    <w:pPr>
      <w:pBdr>
        <w:top w:val="none" w:color="auto" w:sz="0" w:space="0"/>
        <w:left w:val="none" w:color="auto" w:sz="0" w:space="0"/>
        <w:bottom w:val="none" w:color="auto" w:sz="0" w:space="0"/>
        <w:right w:val="none" w:color="auto" w:sz="0" w:space="0"/>
        <w:between w:val="none" w:color="auto" w:sz="0" w:space="0"/>
      </w:pBdr>
      <w:tabs>
        <w:tab w:val="center" w:pos="4111"/>
        <w:tab w:val="right" w:pos="8789"/>
      </w:tabs>
      <w:spacing w:after="0" w:line="240" w:lineRule="auto"/>
      <w:ind w:left="2694"/>
      <w:rPr>
        <w:color w:val="000000"/>
        <w:sz w:val="18"/>
        <w:szCs w:val="18"/>
      </w:rPr>
    </w:pPr>
    <w:r>
      <w:rPr>
        <w:color w:val="000000"/>
        <w:sz w:val="18"/>
        <w:szCs w:val="18"/>
      </w:rPr>
      <w:t>Vol. 1, No. 1, Januari 2025, pp. xx-xx</w:t>
    </w:r>
    <w:r>
      <w:rPr>
        <w:color w:val="000000"/>
        <w:sz w:val="18"/>
        <w:szCs w:val="18"/>
      </w:rPr>
      <w:tab/>
    </w:r>
    <w:r>
      <w:rPr>
        <w:b/>
        <w:color w:val="000000"/>
      </w:rPr>
      <w:fldChar w:fldCharType="begin"/>
    </w:r>
    <w:r>
      <w:rPr>
        <w:b/>
        <w:color w:val="000000"/>
      </w:rPr>
      <w:instrText xml:space="preserve">PAGE</w:instrText>
    </w:r>
    <w:r>
      <w:rPr>
        <w:b/>
        <w:color w:val="000000"/>
      </w:rPr>
      <w:fldChar w:fldCharType="separate"/>
    </w:r>
    <w:r>
      <w:rPr>
        <w:b/>
        <w:color w:val="000000"/>
      </w:rPr>
      <w:t>1</w:t>
    </w:r>
    <w:r>
      <w:rPr>
        <w:b/>
        <w:color w:val="000000"/>
      </w:rPr>
      <w:fldChar w:fldCharType="end"/>
    </w:r>
    <w:r>
      <w:drawing>
        <wp:anchor distT="0" distB="0" distL="0" distR="0" simplePos="0" relativeHeight="251659264" behindDoc="1" locked="0" layoutInCell="1" allowOverlap="1">
          <wp:simplePos x="0" y="0"/>
          <wp:positionH relativeFrom="column">
            <wp:posOffset>-335280</wp:posOffset>
          </wp:positionH>
          <wp:positionV relativeFrom="paragraph">
            <wp:posOffset>368300</wp:posOffset>
          </wp:positionV>
          <wp:extent cx="6610350" cy="1062355"/>
          <wp:effectExtent l="0" t="0" r="0" b="0"/>
          <wp:wrapNone/>
          <wp:docPr id="24" name="image3.png"/>
          <wp:cNvGraphicFramePr/>
          <a:graphic xmlns:a="http://schemas.openxmlformats.org/drawingml/2006/main">
            <a:graphicData uri="http://schemas.openxmlformats.org/drawingml/2006/picture">
              <pic:pic xmlns:pic="http://schemas.openxmlformats.org/drawingml/2006/picture">
                <pic:nvPicPr>
                  <pic:cNvPr id="24" name="image3.png"/>
                  <pic:cNvPicPr preferRelativeResize="0"/>
                </pic:nvPicPr>
                <pic:blipFill>
                  <a:blip r:embed="rId1"/>
                  <a:srcRect/>
                  <a:stretch>
                    <a:fillRect/>
                  </a:stretch>
                </pic:blipFill>
                <pic:spPr>
                  <a:xfrm>
                    <a:off x="0" y="0"/>
                    <a:ext cx="6610350" cy="1062652"/>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B9287E"/>
    <w:multiLevelType w:val="multilevel"/>
    <w:tmpl w:val="09B9287E"/>
    <w:lvl w:ilvl="0" w:tentative="0">
      <w:start w:val="1"/>
      <w:numFmt w:val="decimal"/>
      <w:lvlText w:val="%1."/>
      <w:lvlJc w:val="left"/>
      <w:pPr>
        <w:ind w:left="720" w:hanging="360"/>
      </w:pPr>
      <w:rPr>
        <w:rFonts w:hint="default"/>
      </w:rPr>
    </w:lvl>
    <w:lvl w:ilvl="1" w:tentative="0">
      <w:start w:val="1"/>
      <w:numFmt w:val="decimal"/>
      <w:isLgl/>
      <w:lvlText w:val="%1.%2"/>
      <w:lvlJc w:val="left"/>
      <w:pPr>
        <w:ind w:left="720"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1">
    <w:nsid w:val="1CF46AF4"/>
    <w:multiLevelType w:val="multilevel"/>
    <w:tmpl w:val="1CF46AF4"/>
    <w:lvl w:ilvl="0" w:tentative="0">
      <w:start w:val="1"/>
      <w:numFmt w:val="decimal"/>
      <w:lvlText w:val="%1."/>
      <w:lvlJc w:val="left"/>
      <w:pPr>
        <w:ind w:left="720" w:hanging="360"/>
      </w:pPr>
      <w:rPr>
        <w:rFonts w:ascii="Times New Roman" w:hAnsi="Times New Roman" w:cs="Times New Roman" w:eastAsiaTheme="minorHAnsi"/>
        <w:sz w:val="20"/>
        <w:szCs w:val="16"/>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0624C8C"/>
    <w:multiLevelType w:val="multilevel"/>
    <w:tmpl w:val="30624C8C"/>
    <w:lvl w:ilvl="0" w:tentative="0">
      <w:start w:val="4"/>
      <w:numFmt w:val="decimal"/>
      <w:pStyle w:val="2"/>
      <w:lvlText w:val="%1."/>
      <w:lvlJc w:val="left"/>
      <w:pPr>
        <w:ind w:left="360" w:hanging="360"/>
      </w:pPr>
    </w:lvl>
    <w:lvl w:ilvl="1" w:tentative="0">
      <w:start w:val="1"/>
      <w:numFmt w:val="decimal"/>
      <w:lvlText w:val="%1.%2."/>
      <w:lvlJc w:val="left"/>
      <w:pPr>
        <w:ind w:left="360" w:hanging="360"/>
      </w:pPr>
    </w:lvl>
    <w:lvl w:ilvl="2" w:tentative="0">
      <w:start w:val="1"/>
      <w:numFmt w:val="decimal"/>
      <w:pStyle w:val="4"/>
      <w:lvlText w:val="%1.%2.%3."/>
      <w:lvlJc w:val="left"/>
      <w:pPr>
        <w:ind w:left="720" w:hanging="720"/>
      </w:pPr>
    </w:lvl>
    <w:lvl w:ilvl="3" w:tentative="0">
      <w:start w:val="1"/>
      <w:numFmt w:val="decimal"/>
      <w:pStyle w:val="5"/>
      <w:lvlText w:val="%1.%2.%3.%4."/>
      <w:lvlJc w:val="left"/>
      <w:pPr>
        <w:ind w:left="720" w:hanging="720"/>
      </w:pPr>
    </w:lvl>
    <w:lvl w:ilvl="4" w:tentative="0">
      <w:start w:val="1"/>
      <w:numFmt w:val="decimal"/>
      <w:lvlText w:val="%1.%2.%3.%4.%5."/>
      <w:lvlJc w:val="left"/>
      <w:pPr>
        <w:ind w:left="1080" w:hanging="1080"/>
      </w:pPr>
    </w:lvl>
    <w:lvl w:ilvl="5" w:tentative="0">
      <w:start w:val="1"/>
      <w:numFmt w:val="decimal"/>
      <w:lvlText w:val="%1.%2.%3.%4.%5.%6."/>
      <w:lvlJc w:val="left"/>
      <w:pPr>
        <w:ind w:left="1080" w:hanging="1080"/>
      </w:pPr>
    </w:lvl>
    <w:lvl w:ilvl="6" w:tentative="0">
      <w:start w:val="1"/>
      <w:numFmt w:val="decimal"/>
      <w:lvlText w:val="%1.%2.%3.%4.%5.%6.%7."/>
      <w:lvlJc w:val="left"/>
      <w:pPr>
        <w:ind w:left="1440" w:hanging="1440"/>
      </w:pPr>
    </w:lvl>
    <w:lvl w:ilvl="7" w:tentative="0">
      <w:start w:val="1"/>
      <w:numFmt w:val="decimal"/>
      <w:lvlText w:val="%1.%2.%3.%4.%5.%6.%7.%8."/>
      <w:lvlJc w:val="left"/>
      <w:pPr>
        <w:ind w:left="1440" w:hanging="1440"/>
      </w:pPr>
    </w:lvl>
    <w:lvl w:ilvl="8" w:tentative="0">
      <w:start w:val="1"/>
      <w:numFmt w:val="decimal"/>
      <w:lvlText w:val="%1.%2.%3.%4.%5.%6.%7.%8.%9."/>
      <w:lvlJc w:val="left"/>
      <w:pPr>
        <w:ind w:left="1800" w:hanging="1800"/>
      </w:pPr>
    </w:lvl>
  </w:abstractNum>
  <w:abstractNum w:abstractNumId="3">
    <w:nsid w:val="3456114F"/>
    <w:multiLevelType w:val="multilevel"/>
    <w:tmpl w:val="3456114F"/>
    <w:lvl w:ilvl="0" w:tentative="0">
      <w:start w:val="1"/>
      <w:numFmt w:val="decimal"/>
      <w:pStyle w:val="52"/>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4">
    <w:nsid w:val="35303A5E"/>
    <w:multiLevelType w:val="multilevel"/>
    <w:tmpl w:val="35303A5E"/>
    <w:lvl w:ilvl="0" w:tentative="0">
      <w:start w:val="1"/>
      <w:numFmt w:val="decimal"/>
      <w:pStyle w:val="31"/>
      <w:lvlText w:val="%1."/>
      <w:lvlJc w:val="left"/>
      <w:pPr>
        <w:ind w:left="360" w:hanging="360"/>
      </w:pPr>
      <w:rPr>
        <w:smallCaps w:val="0"/>
        <w:strike w:val="0"/>
        <w:color w:val="000000"/>
        <w:sz w:val="24"/>
        <w:szCs w:val="24"/>
        <w:vertAlign w:val="baseline"/>
      </w:rPr>
    </w:lvl>
    <w:lvl w:ilvl="1" w:tentative="0">
      <w:start w:val="1"/>
      <w:numFmt w:val="upperLetter"/>
      <w:lvlText w:val="%2."/>
      <w:lvlJc w:val="left"/>
      <w:pPr>
        <w:ind w:left="288" w:hanging="288"/>
      </w:pPr>
      <w:rPr>
        <w:rFonts w:ascii="Times New Roman" w:hAnsi="Times New Roman" w:eastAsia="Times New Roman" w:cs="Times New Roman"/>
        <w:b w:val="0"/>
        <w:i/>
        <w:smallCaps w:val="0"/>
        <w:strike w:val="0"/>
        <w:color w:val="000000"/>
        <w:sz w:val="20"/>
        <w:szCs w:val="20"/>
        <w:vertAlign w:val="baseline"/>
      </w:rPr>
    </w:lvl>
    <w:lvl w:ilvl="2" w:tentative="0">
      <w:start w:val="1"/>
      <w:numFmt w:val="decimal"/>
      <w:lvlText w:val="%3)"/>
      <w:lvlJc w:val="left"/>
      <w:pPr>
        <w:ind w:left="0" w:firstLine="180"/>
      </w:pPr>
      <w:rPr>
        <w:rFonts w:ascii="Times New Roman" w:hAnsi="Times New Roman" w:eastAsia="Times New Roman" w:cs="Times New Roman"/>
        <w:b w:val="0"/>
        <w:i/>
        <w:smallCaps w:val="0"/>
        <w:strike w:val="0"/>
        <w:color w:val="000000"/>
        <w:sz w:val="20"/>
        <w:szCs w:val="20"/>
        <w:vertAlign w:val="baseline"/>
      </w:rPr>
    </w:lvl>
    <w:lvl w:ilvl="3" w:tentative="0">
      <w:start w:val="1"/>
      <w:numFmt w:val="lowerLetter"/>
      <w:lvlText w:val="%4)"/>
      <w:lvlJc w:val="left"/>
      <w:pPr>
        <w:ind w:left="0" w:firstLine="360"/>
      </w:pPr>
      <w:rPr>
        <w:rFonts w:ascii="Times New Roman" w:hAnsi="Times New Roman" w:eastAsia="Times New Roman" w:cs="Times New Roman"/>
        <w:b w:val="0"/>
        <w:i/>
        <w:sz w:val="20"/>
        <w:szCs w:val="20"/>
      </w:rPr>
    </w:lvl>
    <w:lvl w:ilvl="4" w:tentative="0">
      <w:start w:val="1"/>
      <w:numFmt w:val="decimal"/>
      <w:lvlText w:val=""/>
      <w:lvlJc w:val="left"/>
      <w:pPr>
        <w:ind w:left="2880" w:hanging="2880"/>
      </w:pPr>
    </w:lvl>
    <w:lvl w:ilvl="5" w:tentative="0">
      <w:start w:val="1"/>
      <w:numFmt w:val="lowerLetter"/>
      <w:lvlText w:val="(%6)"/>
      <w:lvlJc w:val="left"/>
      <w:pPr>
        <w:ind w:left="3600" w:hanging="3600"/>
      </w:pPr>
    </w:lvl>
    <w:lvl w:ilvl="6" w:tentative="0">
      <w:start w:val="1"/>
      <w:numFmt w:val="lowerRoman"/>
      <w:lvlText w:val="(%7)"/>
      <w:lvlJc w:val="left"/>
      <w:pPr>
        <w:ind w:left="4320" w:hanging="4320"/>
      </w:pPr>
    </w:lvl>
    <w:lvl w:ilvl="7" w:tentative="0">
      <w:start w:val="1"/>
      <w:numFmt w:val="lowerLetter"/>
      <w:lvlText w:val="(%8)"/>
      <w:lvlJc w:val="left"/>
      <w:pPr>
        <w:ind w:left="5040" w:hanging="5040"/>
      </w:pPr>
    </w:lvl>
    <w:lvl w:ilvl="8" w:tentative="0">
      <w:start w:val="1"/>
      <w:numFmt w:val="lowerRoman"/>
      <w:lvlText w:val="(%9)"/>
      <w:lvlJc w:val="left"/>
      <w:pPr>
        <w:ind w:left="5760" w:hanging="5760"/>
      </w:pPr>
    </w:lvl>
  </w:abstractNum>
  <w:abstractNum w:abstractNumId="5">
    <w:nsid w:val="35954C5D"/>
    <w:multiLevelType w:val="multilevel"/>
    <w:tmpl w:val="35954C5D"/>
    <w:lvl w:ilvl="0" w:tentative="0">
      <w:start w:val="1"/>
      <w:numFmt w:val="decimal"/>
      <w:lvlText w:val="%1."/>
      <w:lvlJc w:val="left"/>
      <w:pPr>
        <w:ind w:left="720" w:hanging="360"/>
      </w:pPr>
      <w:rPr>
        <w:rFonts w:hint="default"/>
      </w:rPr>
    </w:lvl>
    <w:lvl w:ilvl="1" w:tentative="0">
      <w:start w:val="1"/>
      <w:numFmt w:val="decimal"/>
      <w:isLgl/>
      <w:lvlText w:val="%1.%2."/>
      <w:lvlJc w:val="left"/>
      <w:pPr>
        <w:ind w:left="720"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6">
    <w:nsid w:val="59BD01E1"/>
    <w:multiLevelType w:val="multilevel"/>
    <w:tmpl w:val="59BD01E1"/>
    <w:lvl w:ilvl="0" w:tentative="0">
      <w:start w:val="2"/>
      <w:numFmt w:val="decimal"/>
      <w:pStyle w:val="3"/>
      <w:lvlText w:val="%1."/>
      <w:lvlJc w:val="left"/>
      <w:pPr>
        <w:ind w:left="360" w:hanging="360"/>
      </w:pPr>
    </w:lvl>
    <w:lvl w:ilvl="1" w:tentative="0">
      <w:start w:val="1"/>
      <w:numFmt w:val="decimal"/>
      <w:lvlText w:val="%1.%2."/>
      <w:lvlJc w:val="left"/>
      <w:pPr>
        <w:ind w:left="360" w:hanging="360"/>
      </w:pPr>
    </w:lvl>
    <w:lvl w:ilvl="2" w:tentative="0">
      <w:start w:val="1"/>
      <w:numFmt w:val="decimal"/>
      <w:lvlText w:val="%1.%2.%3."/>
      <w:lvlJc w:val="left"/>
      <w:pPr>
        <w:ind w:left="720" w:hanging="720"/>
      </w:pPr>
    </w:lvl>
    <w:lvl w:ilvl="3" w:tentative="0">
      <w:start w:val="1"/>
      <w:numFmt w:val="decimal"/>
      <w:lvlText w:val="%1.%2.%3.%4."/>
      <w:lvlJc w:val="left"/>
      <w:pPr>
        <w:ind w:left="720" w:hanging="720"/>
      </w:pPr>
    </w:lvl>
    <w:lvl w:ilvl="4" w:tentative="0">
      <w:start w:val="1"/>
      <w:numFmt w:val="decimal"/>
      <w:lvlText w:val="%1.%2.%3.%4.%5."/>
      <w:lvlJc w:val="left"/>
      <w:pPr>
        <w:ind w:left="1080" w:hanging="1080"/>
      </w:pPr>
    </w:lvl>
    <w:lvl w:ilvl="5" w:tentative="0">
      <w:start w:val="1"/>
      <w:numFmt w:val="decimal"/>
      <w:lvlText w:val="%1.%2.%3.%4.%5.%6."/>
      <w:lvlJc w:val="left"/>
      <w:pPr>
        <w:ind w:left="1080" w:hanging="1080"/>
      </w:pPr>
    </w:lvl>
    <w:lvl w:ilvl="6" w:tentative="0">
      <w:start w:val="1"/>
      <w:numFmt w:val="decimal"/>
      <w:lvlText w:val="%1.%2.%3.%4.%5.%6.%7."/>
      <w:lvlJc w:val="left"/>
      <w:pPr>
        <w:ind w:left="1440" w:hanging="1440"/>
      </w:pPr>
    </w:lvl>
    <w:lvl w:ilvl="7" w:tentative="0">
      <w:start w:val="1"/>
      <w:numFmt w:val="decimal"/>
      <w:lvlText w:val="%1.%2.%3.%4.%5.%6.%7.%8."/>
      <w:lvlJc w:val="left"/>
      <w:pPr>
        <w:ind w:left="1440" w:hanging="1440"/>
      </w:pPr>
    </w:lvl>
    <w:lvl w:ilvl="8" w:tentative="0">
      <w:start w:val="1"/>
      <w:numFmt w:val="decimal"/>
      <w:lvlText w:val="%1.%2.%3.%4.%5.%6.%7.%8.%9."/>
      <w:lvlJc w:val="left"/>
      <w:pPr>
        <w:ind w:left="1800" w:hanging="1800"/>
      </w:pPr>
    </w:lvl>
  </w:abstractNum>
  <w:abstractNum w:abstractNumId="7">
    <w:nsid w:val="65DD14A1"/>
    <w:multiLevelType w:val="multilevel"/>
    <w:tmpl w:val="65DD14A1"/>
    <w:lvl w:ilvl="0" w:tentative="0">
      <w:start w:val="1"/>
      <w:numFmt w:val="decimal"/>
      <w:lvlText w:val="%1."/>
      <w:lvlJc w:val="left"/>
      <w:pPr>
        <w:ind w:left="720" w:hanging="360"/>
      </w:pPr>
      <w:rPr>
        <w:rFonts w:hint="default"/>
      </w:rPr>
    </w:lvl>
    <w:lvl w:ilvl="1" w:tentative="0">
      <w:start w:val="7"/>
      <w:numFmt w:val="decimal"/>
      <w:isLgl/>
      <w:lvlText w:val="%1.%2."/>
      <w:lvlJc w:val="left"/>
      <w:pPr>
        <w:ind w:left="900" w:hanging="540"/>
      </w:pPr>
      <w:rPr>
        <w:rFonts w:hint="default"/>
        <w:b/>
      </w:rPr>
    </w:lvl>
    <w:lvl w:ilvl="2" w:tentative="0">
      <w:start w:val="1"/>
      <w:numFmt w:val="decimal"/>
      <w:isLgl/>
      <w:lvlText w:val="%1.%2.%3."/>
      <w:lvlJc w:val="left"/>
      <w:pPr>
        <w:ind w:left="1080" w:hanging="720"/>
      </w:pPr>
      <w:rPr>
        <w:rFonts w:hint="default"/>
        <w:b/>
      </w:rPr>
    </w:lvl>
    <w:lvl w:ilvl="3" w:tentative="0">
      <w:start w:val="1"/>
      <w:numFmt w:val="decimal"/>
      <w:isLgl/>
      <w:lvlText w:val="%1.%2.%3.%4."/>
      <w:lvlJc w:val="left"/>
      <w:pPr>
        <w:ind w:left="1080" w:hanging="720"/>
      </w:pPr>
      <w:rPr>
        <w:rFonts w:hint="default"/>
        <w:b/>
      </w:rPr>
    </w:lvl>
    <w:lvl w:ilvl="4" w:tentative="0">
      <w:start w:val="1"/>
      <w:numFmt w:val="decimal"/>
      <w:isLgl/>
      <w:lvlText w:val="%1.%2.%3.%4.%5."/>
      <w:lvlJc w:val="left"/>
      <w:pPr>
        <w:ind w:left="1440" w:hanging="1080"/>
      </w:pPr>
      <w:rPr>
        <w:rFonts w:hint="default"/>
        <w:b/>
      </w:rPr>
    </w:lvl>
    <w:lvl w:ilvl="5" w:tentative="0">
      <w:start w:val="1"/>
      <w:numFmt w:val="decimal"/>
      <w:isLgl/>
      <w:lvlText w:val="%1.%2.%3.%4.%5.%6."/>
      <w:lvlJc w:val="left"/>
      <w:pPr>
        <w:ind w:left="1440" w:hanging="1080"/>
      </w:pPr>
      <w:rPr>
        <w:rFonts w:hint="default"/>
        <w:b/>
      </w:rPr>
    </w:lvl>
    <w:lvl w:ilvl="6" w:tentative="0">
      <w:start w:val="1"/>
      <w:numFmt w:val="decimal"/>
      <w:isLgl/>
      <w:lvlText w:val="%1.%2.%3.%4.%5.%6.%7."/>
      <w:lvlJc w:val="left"/>
      <w:pPr>
        <w:ind w:left="1800" w:hanging="1440"/>
      </w:pPr>
      <w:rPr>
        <w:rFonts w:hint="default"/>
        <w:b/>
      </w:rPr>
    </w:lvl>
    <w:lvl w:ilvl="7" w:tentative="0">
      <w:start w:val="1"/>
      <w:numFmt w:val="decimal"/>
      <w:isLgl/>
      <w:lvlText w:val="%1.%2.%3.%4.%5.%6.%7.%8."/>
      <w:lvlJc w:val="left"/>
      <w:pPr>
        <w:ind w:left="1800" w:hanging="1440"/>
      </w:pPr>
      <w:rPr>
        <w:rFonts w:hint="default"/>
        <w:b/>
      </w:rPr>
    </w:lvl>
    <w:lvl w:ilvl="8" w:tentative="0">
      <w:start w:val="1"/>
      <w:numFmt w:val="decimal"/>
      <w:isLgl/>
      <w:lvlText w:val="%1.%2.%3.%4.%5.%6.%7.%8.%9."/>
      <w:lvlJc w:val="left"/>
      <w:pPr>
        <w:ind w:left="2160" w:hanging="1800"/>
      </w:pPr>
      <w:rPr>
        <w:rFonts w:hint="default"/>
        <w:b/>
      </w:rPr>
    </w:lvl>
  </w:abstractNum>
  <w:abstractNum w:abstractNumId="8">
    <w:nsid w:val="691B6E77"/>
    <w:multiLevelType w:val="multilevel"/>
    <w:tmpl w:val="691B6E77"/>
    <w:lvl w:ilvl="0" w:tentative="0">
      <w:start w:val="3"/>
      <w:numFmt w:val="decimal"/>
      <w:pStyle w:val="40"/>
      <w:lvlText w:val="%1."/>
      <w:lvlJc w:val="left"/>
      <w:pPr>
        <w:ind w:left="360" w:hanging="360"/>
      </w:pPr>
    </w:lvl>
    <w:lvl w:ilvl="1" w:tentative="0">
      <w:start w:val="2"/>
      <w:numFmt w:val="decimal"/>
      <w:lvlText w:val="%1.%2."/>
      <w:lvlJc w:val="left"/>
      <w:pPr>
        <w:ind w:left="360" w:hanging="360"/>
      </w:pPr>
    </w:lvl>
    <w:lvl w:ilvl="2" w:tentative="0">
      <w:start w:val="1"/>
      <w:numFmt w:val="decimal"/>
      <w:lvlText w:val="%1.%2.%3."/>
      <w:lvlJc w:val="left"/>
      <w:pPr>
        <w:ind w:left="720" w:hanging="720"/>
      </w:pPr>
    </w:lvl>
    <w:lvl w:ilvl="3" w:tentative="0">
      <w:start w:val="1"/>
      <w:numFmt w:val="decimal"/>
      <w:lvlText w:val="%1.%2.%3.%4."/>
      <w:lvlJc w:val="left"/>
      <w:pPr>
        <w:ind w:left="720" w:hanging="720"/>
      </w:pPr>
    </w:lvl>
    <w:lvl w:ilvl="4" w:tentative="0">
      <w:start w:val="1"/>
      <w:numFmt w:val="decimal"/>
      <w:lvlText w:val="%1.%2.%3.%4.%5."/>
      <w:lvlJc w:val="left"/>
      <w:pPr>
        <w:ind w:left="1080" w:hanging="1080"/>
      </w:pPr>
    </w:lvl>
    <w:lvl w:ilvl="5" w:tentative="0">
      <w:start w:val="1"/>
      <w:numFmt w:val="decimal"/>
      <w:lvlText w:val="%1.%2.%3.%4.%5.%6."/>
      <w:lvlJc w:val="left"/>
      <w:pPr>
        <w:ind w:left="1080" w:hanging="1080"/>
      </w:pPr>
    </w:lvl>
    <w:lvl w:ilvl="6" w:tentative="0">
      <w:start w:val="1"/>
      <w:numFmt w:val="decimal"/>
      <w:lvlText w:val="%1.%2.%3.%4.%5.%6.%7."/>
      <w:lvlJc w:val="left"/>
      <w:pPr>
        <w:ind w:left="1440" w:hanging="1440"/>
      </w:pPr>
    </w:lvl>
    <w:lvl w:ilvl="7" w:tentative="0">
      <w:start w:val="1"/>
      <w:numFmt w:val="decimal"/>
      <w:lvlText w:val="%1.%2.%3.%4.%5.%6.%7.%8."/>
      <w:lvlJc w:val="left"/>
      <w:pPr>
        <w:ind w:left="1440" w:hanging="1440"/>
      </w:pPr>
    </w:lvl>
    <w:lvl w:ilvl="8" w:tentative="0">
      <w:start w:val="1"/>
      <w:numFmt w:val="decimal"/>
      <w:lvlText w:val="%1.%2.%3.%4.%5.%6.%7.%8.%9."/>
      <w:lvlJc w:val="left"/>
      <w:pPr>
        <w:ind w:left="1800" w:hanging="1800"/>
      </w:pPr>
    </w:lvl>
  </w:abstractNum>
  <w:abstractNum w:abstractNumId="9">
    <w:nsid w:val="762B1D4B"/>
    <w:multiLevelType w:val="multilevel"/>
    <w:tmpl w:val="762B1D4B"/>
    <w:lvl w:ilvl="0" w:tentative="0">
      <w:start w:val="1"/>
      <w:numFmt w:val="decimal"/>
      <w:pStyle w:val="42"/>
      <w:lvlText w:val="3.%1."/>
      <w:lvlJc w:val="left"/>
      <w:pPr>
        <w:ind w:left="36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7DEC0E32"/>
    <w:multiLevelType w:val="multilevel"/>
    <w:tmpl w:val="7DEC0E32"/>
    <w:lvl w:ilvl="0" w:tentative="0">
      <w:start w:val="5"/>
      <w:numFmt w:val="decimal"/>
      <w:pStyle w:val="46"/>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5"/>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num w:numId="1">
    <w:abstractNumId w:val="2"/>
  </w:num>
  <w:num w:numId="2">
    <w:abstractNumId w:val="6"/>
  </w:num>
  <w:num w:numId="3">
    <w:abstractNumId w:val="4"/>
  </w:num>
  <w:num w:numId="4">
    <w:abstractNumId w:val="8"/>
  </w:num>
  <w:num w:numId="5">
    <w:abstractNumId w:val="9"/>
  </w:num>
  <w:num w:numId="6">
    <w:abstractNumId w:val="10"/>
  </w:num>
  <w:num w:numId="7">
    <w:abstractNumId w:val="3"/>
  </w:num>
  <w:num w:numId="8">
    <w:abstractNumId w:val="7"/>
  </w:num>
  <w:num w:numId="9">
    <w:abstractNumId w:val="1"/>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documentProtection w:enforcement="0"/>
  <w:defaultTabStop w:val="720"/>
  <w:evenAndOddHeaders w:val="1"/>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3F6"/>
    <w:rsid w:val="00002309"/>
    <w:rsid w:val="00032AA4"/>
    <w:rsid w:val="00043383"/>
    <w:rsid w:val="00044DF5"/>
    <w:rsid w:val="00117791"/>
    <w:rsid w:val="001201B0"/>
    <w:rsid w:val="001C1AF4"/>
    <w:rsid w:val="002067D4"/>
    <w:rsid w:val="002239B5"/>
    <w:rsid w:val="00257C3D"/>
    <w:rsid w:val="002E1223"/>
    <w:rsid w:val="00343940"/>
    <w:rsid w:val="00394536"/>
    <w:rsid w:val="003E3B21"/>
    <w:rsid w:val="0042516D"/>
    <w:rsid w:val="00434931"/>
    <w:rsid w:val="004407FB"/>
    <w:rsid w:val="004428D5"/>
    <w:rsid w:val="00503D32"/>
    <w:rsid w:val="00633D60"/>
    <w:rsid w:val="00676E36"/>
    <w:rsid w:val="00681963"/>
    <w:rsid w:val="00695CE9"/>
    <w:rsid w:val="006A00C1"/>
    <w:rsid w:val="007344FF"/>
    <w:rsid w:val="00885193"/>
    <w:rsid w:val="00917977"/>
    <w:rsid w:val="00942C4A"/>
    <w:rsid w:val="00956F8E"/>
    <w:rsid w:val="00A457ED"/>
    <w:rsid w:val="00A666F2"/>
    <w:rsid w:val="00AA501E"/>
    <w:rsid w:val="00AE0F4C"/>
    <w:rsid w:val="00B27F56"/>
    <w:rsid w:val="00B94077"/>
    <w:rsid w:val="00C0120F"/>
    <w:rsid w:val="00C61C53"/>
    <w:rsid w:val="00C86A24"/>
    <w:rsid w:val="00C86DD1"/>
    <w:rsid w:val="00CC2812"/>
    <w:rsid w:val="00CD7192"/>
    <w:rsid w:val="00DE14EF"/>
    <w:rsid w:val="00E043F6"/>
    <w:rsid w:val="00ED7285"/>
    <w:rsid w:val="00F33119"/>
    <w:rsid w:val="00FB37F3"/>
    <w:rsid w:val="00FB79AD"/>
    <w:rsid w:val="00FD0DC4"/>
    <w:rsid w:val="1AE36345"/>
    <w:rsid w:val="52C071C7"/>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imes New Roman" w:cs="Times New Roman"/>
      <w:sz w:val="22"/>
      <w:szCs w:val="22"/>
      <w:lang w:val="en-US" w:eastAsia="en-US" w:bidi="ar-SA"/>
    </w:rPr>
  </w:style>
  <w:style w:type="paragraph" w:styleId="2">
    <w:name w:val="heading 1"/>
    <w:basedOn w:val="1"/>
    <w:next w:val="1"/>
    <w:link w:val="24"/>
    <w:qFormat/>
    <w:uiPriority w:val="9"/>
    <w:pPr>
      <w:keepNext/>
      <w:keepLines/>
      <w:numPr>
        <w:ilvl w:val="0"/>
        <w:numId w:val="1"/>
      </w:numPr>
      <w:tabs>
        <w:tab w:val="left" w:pos="216"/>
      </w:tabs>
      <w:spacing w:before="360" w:after="80" w:line="240" w:lineRule="auto"/>
      <w:outlineLvl w:val="0"/>
    </w:pPr>
    <w:rPr>
      <w:rFonts w:eastAsia="MS Mincho"/>
      <w:b/>
      <w:sz w:val="24"/>
      <w:szCs w:val="20"/>
      <w:lang w:eastAsia="zh-CN"/>
    </w:rPr>
  </w:style>
  <w:style w:type="paragraph" w:styleId="3">
    <w:name w:val="heading 2"/>
    <w:basedOn w:val="1"/>
    <w:next w:val="1"/>
    <w:link w:val="23"/>
    <w:unhideWhenUsed/>
    <w:qFormat/>
    <w:uiPriority w:val="9"/>
    <w:pPr>
      <w:keepNext/>
      <w:keepLines/>
      <w:numPr>
        <w:ilvl w:val="0"/>
        <w:numId w:val="2"/>
      </w:numPr>
      <w:tabs>
        <w:tab w:val="left" w:pos="454"/>
      </w:tabs>
      <w:spacing w:before="120" w:after="60" w:line="240" w:lineRule="auto"/>
      <w:outlineLvl w:val="1"/>
    </w:pPr>
    <w:rPr>
      <w:rFonts w:eastAsia="MS Mincho"/>
      <w:b/>
      <w:iCs/>
      <w:szCs w:val="20"/>
      <w:lang w:eastAsia="zh-CN"/>
    </w:rPr>
  </w:style>
  <w:style w:type="paragraph" w:styleId="4">
    <w:name w:val="heading 3"/>
    <w:basedOn w:val="1"/>
    <w:next w:val="1"/>
    <w:link w:val="25"/>
    <w:unhideWhenUsed/>
    <w:qFormat/>
    <w:uiPriority w:val="9"/>
    <w:pPr>
      <w:numPr>
        <w:ilvl w:val="2"/>
        <w:numId w:val="1"/>
      </w:numPr>
      <w:tabs>
        <w:tab w:val="left" w:pos="540"/>
      </w:tabs>
      <w:spacing w:after="0" w:line="240" w:lineRule="exact"/>
      <w:ind w:firstLine="288"/>
      <w:jc w:val="both"/>
      <w:outlineLvl w:val="2"/>
    </w:pPr>
    <w:rPr>
      <w:rFonts w:eastAsia="MS Mincho"/>
      <w:i/>
      <w:iCs/>
      <w:sz w:val="20"/>
      <w:szCs w:val="20"/>
      <w:lang w:eastAsia="zh-CN"/>
    </w:rPr>
  </w:style>
  <w:style w:type="paragraph" w:styleId="5">
    <w:name w:val="heading 4"/>
    <w:basedOn w:val="1"/>
    <w:next w:val="1"/>
    <w:link w:val="26"/>
    <w:unhideWhenUsed/>
    <w:qFormat/>
    <w:uiPriority w:val="9"/>
    <w:pPr>
      <w:numPr>
        <w:ilvl w:val="3"/>
        <w:numId w:val="1"/>
      </w:numPr>
      <w:tabs>
        <w:tab w:val="left" w:pos="720"/>
        <w:tab w:val="left" w:pos="821"/>
      </w:tabs>
      <w:spacing w:before="40" w:after="40" w:line="240" w:lineRule="auto"/>
      <w:ind w:firstLine="504"/>
      <w:jc w:val="both"/>
      <w:outlineLvl w:val="3"/>
    </w:pPr>
    <w:rPr>
      <w:rFonts w:eastAsia="MS Mincho"/>
      <w:i/>
      <w:iCs/>
      <w:sz w:val="20"/>
      <w:szCs w:val="20"/>
      <w:lang w:eastAsia="zh-CN"/>
    </w:rPr>
  </w:style>
  <w:style w:type="paragraph" w:styleId="6">
    <w:name w:val="heading 5"/>
    <w:basedOn w:val="1"/>
    <w:next w:val="1"/>
    <w:link w:val="21"/>
    <w:unhideWhenUsed/>
    <w:qFormat/>
    <w:uiPriority w:val="9"/>
    <w:pPr>
      <w:tabs>
        <w:tab w:val="left" w:pos="360"/>
      </w:tabs>
      <w:spacing w:before="160" w:after="80" w:line="240" w:lineRule="auto"/>
      <w:jc w:val="center"/>
      <w:outlineLvl w:val="4"/>
    </w:pPr>
    <w:rPr>
      <w:rFonts w:ascii="Junicode" w:hAnsi="Junicode"/>
      <w:b/>
      <w:szCs w:val="20"/>
      <w:lang w:eastAsia="zh-CN"/>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ody Text"/>
    <w:basedOn w:val="1"/>
    <w:link w:val="28"/>
    <w:qFormat/>
    <w:uiPriority w:val="99"/>
    <w:pPr>
      <w:tabs>
        <w:tab w:val="left" w:pos="288"/>
      </w:tabs>
      <w:spacing w:after="120" w:line="228" w:lineRule="auto"/>
      <w:ind w:firstLine="288"/>
      <w:jc w:val="both"/>
    </w:pPr>
    <w:rPr>
      <w:rFonts w:eastAsia="MS Mincho"/>
      <w:spacing w:val="-1"/>
      <w:szCs w:val="20"/>
    </w:rPr>
  </w:style>
  <w:style w:type="character" w:styleId="11">
    <w:name w:val="FollowedHyperlink"/>
    <w:basedOn w:val="8"/>
    <w:semiHidden/>
    <w:unhideWhenUsed/>
    <w:qFormat/>
    <w:uiPriority w:val="99"/>
    <w:rPr>
      <w:color w:val="954F72" w:themeColor="followedHyperlink"/>
      <w:u w:val="single"/>
      <w14:textFill>
        <w14:solidFill>
          <w14:schemeClr w14:val="folHlink"/>
        </w14:solidFill>
      </w14:textFill>
    </w:rPr>
  </w:style>
  <w:style w:type="paragraph" w:styleId="12">
    <w:name w:val="footer"/>
    <w:basedOn w:val="1"/>
    <w:link w:val="22"/>
    <w:unhideWhenUsed/>
    <w:uiPriority w:val="99"/>
    <w:pPr>
      <w:tabs>
        <w:tab w:val="center" w:pos="4680"/>
        <w:tab w:val="right" w:pos="9360"/>
      </w:tabs>
    </w:pPr>
  </w:style>
  <w:style w:type="paragraph" w:styleId="13">
    <w:name w:val="header"/>
    <w:basedOn w:val="1"/>
    <w:link w:val="27"/>
    <w:unhideWhenUsed/>
    <w:qFormat/>
    <w:uiPriority w:val="99"/>
    <w:pPr>
      <w:tabs>
        <w:tab w:val="center" w:pos="4111"/>
        <w:tab w:val="right" w:pos="8789"/>
      </w:tabs>
      <w:spacing w:after="0" w:line="240" w:lineRule="auto"/>
    </w:pPr>
    <w:rPr>
      <w:sz w:val="18"/>
    </w:rPr>
  </w:style>
  <w:style w:type="character" w:styleId="14">
    <w:name w:val="Hyperlink"/>
    <w:unhideWhenUsed/>
    <w:qFormat/>
    <w:uiPriority w:val="99"/>
    <w:rPr>
      <w:color w:val="0563C1"/>
      <w:u w:val="single"/>
    </w:rPr>
  </w:style>
  <w:style w:type="paragraph" w:styleId="15">
    <w:name w:val="Normal (Web)"/>
    <w:basedOn w:val="1"/>
    <w:unhideWhenUsed/>
    <w:uiPriority w:val="99"/>
    <w:pPr>
      <w:spacing w:before="100" w:beforeAutospacing="1" w:after="100" w:afterAutospacing="1" w:line="240" w:lineRule="auto"/>
    </w:pPr>
    <w:rPr>
      <w:sz w:val="24"/>
      <w:szCs w:val="24"/>
      <w:lang w:val="id-ID" w:eastAsia="id-ID"/>
    </w:rPr>
  </w:style>
  <w:style w:type="character" w:styleId="16">
    <w:name w:val="Strong"/>
    <w:basedOn w:val="8"/>
    <w:qFormat/>
    <w:uiPriority w:val="22"/>
    <w:rPr>
      <w:b/>
      <w:bCs/>
    </w:rPr>
  </w:style>
  <w:style w:type="paragraph" w:styleId="17">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styleId="18">
    <w:name w:val="Table Grid"/>
    <w:basedOn w:val="9"/>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9">
    <w:name w:val="Title"/>
    <w:basedOn w:val="1"/>
    <w:next w:val="1"/>
    <w:link w:val="20"/>
    <w:qFormat/>
    <w:uiPriority w:val="10"/>
    <w:pPr>
      <w:spacing w:before="240" w:after="60"/>
      <w:jc w:val="center"/>
      <w:outlineLvl w:val="0"/>
    </w:pPr>
    <w:rPr>
      <w:rFonts w:ascii="Calibri Light" w:hAnsi="Calibri Light"/>
      <w:b/>
      <w:bCs/>
      <w:kern w:val="28"/>
      <w:sz w:val="32"/>
      <w:szCs w:val="32"/>
    </w:rPr>
  </w:style>
  <w:style w:type="character" w:customStyle="1" w:styleId="20">
    <w:name w:val="Title Char"/>
    <w:link w:val="19"/>
    <w:qFormat/>
    <w:uiPriority w:val="10"/>
    <w:rPr>
      <w:rFonts w:ascii="Calibri Light" w:hAnsi="Calibri Light" w:eastAsia="Times New Roman" w:cs="Times New Roman"/>
      <w:b/>
      <w:bCs/>
      <w:kern w:val="28"/>
      <w:sz w:val="32"/>
      <w:szCs w:val="32"/>
    </w:rPr>
  </w:style>
  <w:style w:type="character" w:customStyle="1" w:styleId="21">
    <w:name w:val="Heading 5 Char"/>
    <w:link w:val="6"/>
    <w:qFormat/>
    <w:uiPriority w:val="99"/>
    <w:rPr>
      <w:rFonts w:ascii="Junicode" w:hAnsi="Junicode" w:eastAsia="Times New Roman"/>
      <w:b/>
      <w:sz w:val="22"/>
      <w:lang w:val="en-US" w:eastAsia="zh-CN"/>
    </w:rPr>
  </w:style>
  <w:style w:type="character" w:customStyle="1" w:styleId="22">
    <w:name w:val="Footer Char"/>
    <w:link w:val="12"/>
    <w:qFormat/>
    <w:uiPriority w:val="99"/>
    <w:rPr>
      <w:rFonts w:ascii="Times New Roman" w:hAnsi="Times New Roman"/>
      <w:sz w:val="22"/>
      <w:szCs w:val="22"/>
    </w:rPr>
  </w:style>
  <w:style w:type="character" w:customStyle="1" w:styleId="23">
    <w:name w:val="Heading 2 Char"/>
    <w:link w:val="3"/>
    <w:qFormat/>
    <w:uiPriority w:val="99"/>
    <w:rPr>
      <w:rFonts w:ascii="Times New Roman" w:hAnsi="Times New Roman" w:eastAsia="MS Mincho"/>
      <w:b/>
      <w:iCs/>
      <w:sz w:val="22"/>
      <w:lang w:val="en-US" w:eastAsia="zh-CN"/>
    </w:rPr>
  </w:style>
  <w:style w:type="character" w:customStyle="1" w:styleId="24">
    <w:name w:val="Heading 1 Char"/>
    <w:link w:val="2"/>
    <w:qFormat/>
    <w:uiPriority w:val="99"/>
    <w:rPr>
      <w:rFonts w:ascii="Times New Roman" w:hAnsi="Times New Roman" w:eastAsia="MS Mincho"/>
      <w:b/>
      <w:sz w:val="24"/>
      <w:lang w:val="en-US" w:eastAsia="zh-CN"/>
    </w:rPr>
  </w:style>
  <w:style w:type="character" w:customStyle="1" w:styleId="25">
    <w:name w:val="Heading 3 Char"/>
    <w:link w:val="4"/>
    <w:uiPriority w:val="99"/>
    <w:rPr>
      <w:rFonts w:ascii="Times New Roman" w:hAnsi="Times New Roman" w:eastAsia="MS Mincho" w:cs="Times New Roman"/>
      <w:i/>
      <w:iCs/>
      <w:sz w:val="20"/>
      <w:szCs w:val="20"/>
      <w:lang w:val="en-US" w:eastAsia="zh-CN"/>
    </w:rPr>
  </w:style>
  <w:style w:type="character" w:customStyle="1" w:styleId="26">
    <w:name w:val="Heading 4 Char"/>
    <w:link w:val="5"/>
    <w:uiPriority w:val="99"/>
    <w:rPr>
      <w:rFonts w:ascii="Times New Roman" w:hAnsi="Times New Roman" w:eastAsia="MS Mincho" w:cs="Times New Roman"/>
      <w:i/>
      <w:iCs/>
      <w:sz w:val="20"/>
      <w:szCs w:val="20"/>
      <w:lang w:val="en-US" w:eastAsia="zh-CN"/>
    </w:rPr>
  </w:style>
  <w:style w:type="character" w:customStyle="1" w:styleId="27">
    <w:name w:val="Header Char"/>
    <w:link w:val="13"/>
    <w:qFormat/>
    <w:uiPriority w:val="99"/>
    <w:rPr>
      <w:rFonts w:ascii="Times New Roman" w:hAnsi="Times New Roman"/>
      <w:sz w:val="18"/>
      <w:szCs w:val="22"/>
    </w:rPr>
  </w:style>
  <w:style w:type="character" w:customStyle="1" w:styleId="28">
    <w:name w:val="Body Text Char"/>
    <w:link w:val="10"/>
    <w:qFormat/>
    <w:uiPriority w:val="99"/>
    <w:rPr>
      <w:rFonts w:ascii="Times New Roman" w:hAnsi="Times New Roman" w:eastAsia="MS Mincho"/>
      <w:spacing w:val="-1"/>
      <w:sz w:val="22"/>
    </w:rPr>
  </w:style>
  <w:style w:type="paragraph" w:customStyle="1" w:styleId="29">
    <w:name w:val="copyright"/>
    <w:basedOn w:val="30"/>
    <w:qFormat/>
    <w:uiPriority w:val="0"/>
    <w:pPr>
      <w:framePr w:hSpace="187" w:wrap="around" w:vAnchor="text" w:hAnchor="text" w:y="1"/>
      <w:spacing w:after="0"/>
      <w:jc w:val="right"/>
    </w:pPr>
    <w:rPr>
      <w:sz w:val="16"/>
      <w:szCs w:val="14"/>
    </w:rPr>
  </w:style>
  <w:style w:type="paragraph" w:customStyle="1" w:styleId="30">
    <w:name w:val="AbstractText"/>
    <w:qFormat/>
    <w:uiPriority w:val="0"/>
    <w:pPr>
      <w:spacing w:after="80" w:line="200" w:lineRule="exact"/>
      <w:jc w:val="both"/>
    </w:pPr>
    <w:rPr>
      <w:rFonts w:ascii="Times New Roman" w:hAnsi="Times New Roman" w:eastAsia="Times New Roman" w:cs="Times New Roman"/>
      <w:sz w:val="22"/>
      <w:szCs w:val="22"/>
      <w:lang w:val="en" w:eastAsia="en-US" w:bidi="ar-SA"/>
    </w:rPr>
  </w:style>
  <w:style w:type="paragraph" w:customStyle="1" w:styleId="31">
    <w:name w:val="bullet list"/>
    <w:basedOn w:val="10"/>
    <w:uiPriority w:val="0"/>
    <w:pPr>
      <w:numPr>
        <w:ilvl w:val="0"/>
        <w:numId w:val="3"/>
      </w:numPr>
      <w:ind w:left="576" w:hanging="288"/>
    </w:pPr>
  </w:style>
  <w:style w:type="paragraph" w:customStyle="1" w:styleId="32">
    <w:name w:val="table col head"/>
    <w:basedOn w:val="1"/>
    <w:qFormat/>
    <w:uiPriority w:val="99"/>
    <w:pPr>
      <w:spacing w:after="0" w:line="240" w:lineRule="auto"/>
      <w:jc w:val="center"/>
    </w:pPr>
    <w:rPr>
      <w:rFonts w:ascii="Junicode" w:hAnsi="Junicode"/>
      <w:b/>
      <w:bCs/>
      <w:sz w:val="20"/>
      <w:szCs w:val="16"/>
    </w:rPr>
  </w:style>
  <w:style w:type="paragraph" w:customStyle="1" w:styleId="33">
    <w:name w:val="Title IJAIN"/>
    <w:next w:val="34"/>
    <w:qFormat/>
    <w:uiPriority w:val="0"/>
    <w:pPr>
      <w:suppressAutoHyphens/>
      <w:spacing w:before="360" w:after="240" w:line="400" w:lineRule="exact"/>
    </w:pPr>
    <w:rPr>
      <w:rFonts w:ascii="Times New Roman" w:hAnsi="Times New Roman" w:eastAsia="Times New Roman" w:cs="Times New Roman"/>
      <w:sz w:val="34"/>
      <w:szCs w:val="22"/>
      <w:lang w:val="en-US" w:eastAsia="en-US" w:bidi="ar-SA"/>
    </w:rPr>
  </w:style>
  <w:style w:type="paragraph" w:customStyle="1" w:styleId="34">
    <w:name w:val="Author"/>
    <w:next w:val="1"/>
    <w:uiPriority w:val="0"/>
    <w:pPr>
      <w:keepNext/>
      <w:suppressAutoHyphens/>
      <w:spacing w:after="160" w:line="300" w:lineRule="exact"/>
    </w:pPr>
    <w:rPr>
      <w:rFonts w:ascii="Times New Roman" w:hAnsi="Times New Roman" w:eastAsia="Times New Roman" w:cs="Times New Roman"/>
      <w:sz w:val="26"/>
      <w:szCs w:val="22"/>
      <w:lang w:val="en-US" w:eastAsia="en-US" w:bidi="ar-SA"/>
    </w:rPr>
  </w:style>
  <w:style w:type="paragraph" w:customStyle="1" w:styleId="35">
    <w:name w:val="AuthorAffiliation"/>
    <w:next w:val="1"/>
    <w:qFormat/>
    <w:uiPriority w:val="0"/>
    <w:pPr>
      <w:suppressAutoHyphens/>
      <w:spacing w:after="160" w:line="200" w:lineRule="exact"/>
    </w:pPr>
    <w:rPr>
      <w:rFonts w:ascii="Times New Roman" w:hAnsi="Times New Roman" w:eastAsia="Times New Roman" w:cs="Times New Roman"/>
      <w:sz w:val="14"/>
      <w:szCs w:val="22"/>
      <w:lang w:val="en-US" w:eastAsia="en-US" w:bidi="ar-SA"/>
    </w:rPr>
  </w:style>
  <w:style w:type="paragraph" w:customStyle="1" w:styleId="36">
    <w:name w:val="ArticlehistoryHead"/>
    <w:basedOn w:val="37"/>
    <w:qFormat/>
    <w:uiPriority w:val="0"/>
    <w:pPr>
      <w:framePr w:hSpace="187" w:wrap="around" w:vAnchor="text" w:hAnchor="text" w:y="1"/>
    </w:pPr>
    <w:rPr>
      <w:b/>
    </w:rPr>
  </w:style>
  <w:style w:type="paragraph" w:customStyle="1" w:styleId="37">
    <w:name w:val="Articlehistory"/>
    <w:qFormat/>
    <w:uiPriority w:val="0"/>
    <w:pPr>
      <w:spacing w:after="160" w:line="200" w:lineRule="exact"/>
    </w:pPr>
    <w:rPr>
      <w:rFonts w:ascii="Ebrima" w:hAnsi="Ebrima" w:eastAsia="Times New Roman" w:cs="Times New Roman"/>
      <w:sz w:val="14"/>
      <w:szCs w:val="22"/>
      <w:lang w:val="en-US" w:eastAsia="en-US" w:bidi="ar-SA"/>
    </w:rPr>
  </w:style>
  <w:style w:type="paragraph" w:customStyle="1" w:styleId="38">
    <w:name w:val="Paragraph"/>
    <w:qFormat/>
    <w:uiPriority w:val="0"/>
    <w:pPr>
      <w:spacing w:after="120" w:line="220" w:lineRule="exact"/>
      <w:ind w:firstLine="289"/>
      <w:jc w:val="both"/>
    </w:pPr>
    <w:rPr>
      <w:rFonts w:ascii="Times New Roman" w:hAnsi="Times New Roman" w:eastAsia="Times New Roman" w:cs="Times New Roman"/>
      <w:sz w:val="22"/>
      <w:szCs w:val="22"/>
      <w:lang w:val="en-US" w:eastAsia="en-US" w:bidi="ar-SA"/>
    </w:rPr>
  </w:style>
  <w:style w:type="paragraph" w:customStyle="1" w:styleId="39">
    <w:name w:val="sponsors"/>
    <w:qFormat/>
    <w:uiPriority w:val="0"/>
    <w:pPr>
      <w:framePr w:wrap="around" w:vAnchor="margin" w:hAnchor="text" w:x="615" w:y="2239"/>
      <w:pBdr>
        <w:top w:val="single" w:color="auto" w:sz="4" w:space="2"/>
      </w:pBdr>
      <w:spacing w:after="160" w:line="259" w:lineRule="auto"/>
      <w:ind w:firstLine="288"/>
    </w:pPr>
    <w:rPr>
      <w:rFonts w:ascii="Times New Roman" w:hAnsi="Times New Roman" w:eastAsia="Times New Roman" w:cs="Times New Roman"/>
      <w:sz w:val="16"/>
      <w:szCs w:val="16"/>
      <w:lang w:val="en-US" w:eastAsia="en-US" w:bidi="ar-SA"/>
    </w:rPr>
  </w:style>
  <w:style w:type="paragraph" w:customStyle="1" w:styleId="40">
    <w:name w:val="figure caption"/>
    <w:qFormat/>
    <w:uiPriority w:val="0"/>
    <w:pPr>
      <w:numPr>
        <w:ilvl w:val="0"/>
        <w:numId w:val="4"/>
      </w:numPr>
      <w:tabs>
        <w:tab w:val="left" w:pos="533"/>
      </w:tabs>
      <w:spacing w:before="80" w:after="200" w:line="259" w:lineRule="auto"/>
      <w:jc w:val="center"/>
    </w:pPr>
    <w:rPr>
      <w:rFonts w:ascii="Junicode" w:hAnsi="Junicode" w:eastAsia="Times New Roman" w:cs="Times New Roman"/>
      <w:sz w:val="22"/>
      <w:szCs w:val="16"/>
      <w:lang w:val="en-US" w:eastAsia="en-US" w:bidi="ar-SA"/>
    </w:rPr>
  </w:style>
  <w:style w:type="paragraph" w:customStyle="1" w:styleId="41">
    <w:name w:val="equation"/>
    <w:basedOn w:val="1"/>
    <w:qFormat/>
    <w:uiPriority w:val="99"/>
    <w:pPr>
      <w:tabs>
        <w:tab w:val="center" w:pos="5670"/>
        <w:tab w:val="right" w:pos="8789"/>
      </w:tabs>
      <w:spacing w:before="240" w:after="240" w:line="216" w:lineRule="auto"/>
      <w:ind w:firstLine="397"/>
      <w:jc w:val="center"/>
    </w:pPr>
    <w:rPr>
      <w:rFonts w:ascii="Symbol" w:hAnsi="Symbol" w:cs="Symbol"/>
      <w:sz w:val="20"/>
      <w:szCs w:val="20"/>
    </w:rPr>
  </w:style>
  <w:style w:type="paragraph" w:customStyle="1" w:styleId="42">
    <w:name w:val="table footnote"/>
    <w:qFormat/>
    <w:uiPriority w:val="99"/>
    <w:pPr>
      <w:numPr>
        <w:ilvl w:val="0"/>
        <w:numId w:val="5"/>
      </w:numPr>
      <w:tabs>
        <w:tab w:val="left" w:pos="29"/>
      </w:tabs>
      <w:spacing w:before="60" w:after="30" w:line="259" w:lineRule="auto"/>
      <w:jc w:val="right"/>
    </w:pPr>
    <w:rPr>
      <w:rFonts w:ascii="Junicode" w:hAnsi="Junicode" w:eastAsia="MS Mincho" w:cs="Times New Roman"/>
      <w:sz w:val="16"/>
      <w:szCs w:val="12"/>
      <w:lang w:val="en-US" w:eastAsia="en-US" w:bidi="ar-SA"/>
    </w:rPr>
  </w:style>
  <w:style w:type="paragraph" w:customStyle="1" w:styleId="43">
    <w:name w:val="ArticleinfoHead"/>
    <w:uiPriority w:val="0"/>
    <w:pPr>
      <w:spacing w:after="160" w:line="259" w:lineRule="auto"/>
    </w:pPr>
    <w:rPr>
      <w:rFonts w:ascii="Times New Roman" w:hAnsi="Times New Roman" w:eastAsia="Times New Roman" w:cs="Times New Roman"/>
      <w:smallCaps/>
      <w:spacing w:val="24"/>
      <w:sz w:val="18"/>
      <w:szCs w:val="22"/>
      <w:lang w:val="en-US" w:eastAsia="en-US" w:bidi="ar-SA"/>
    </w:rPr>
  </w:style>
  <w:style w:type="paragraph" w:customStyle="1" w:styleId="44">
    <w:name w:val="AbstractHead"/>
    <w:qFormat/>
    <w:uiPriority w:val="0"/>
    <w:pPr>
      <w:spacing w:after="160" w:line="259" w:lineRule="auto"/>
    </w:pPr>
    <w:rPr>
      <w:rFonts w:ascii="Times New Roman" w:hAnsi="Times New Roman" w:eastAsia="Times New Roman" w:cs="Times New Roman"/>
      <w:smallCaps/>
      <w:spacing w:val="24"/>
      <w:sz w:val="22"/>
      <w:szCs w:val="22"/>
      <w:lang w:val="en-US" w:eastAsia="en-US" w:bidi="ar-SA"/>
    </w:rPr>
  </w:style>
  <w:style w:type="paragraph" w:customStyle="1" w:styleId="45">
    <w:name w:val="figure"/>
    <w:basedOn w:val="42"/>
    <w:qFormat/>
    <w:uiPriority w:val="0"/>
    <w:pPr>
      <w:numPr>
        <w:ilvl w:val="0"/>
        <w:numId w:val="0"/>
      </w:numPr>
      <w:ind w:left="360" w:hanging="360"/>
      <w:jc w:val="center"/>
    </w:pPr>
  </w:style>
  <w:style w:type="paragraph" w:customStyle="1" w:styleId="46">
    <w:name w:val="table head"/>
    <w:qFormat/>
    <w:uiPriority w:val="99"/>
    <w:pPr>
      <w:numPr>
        <w:ilvl w:val="0"/>
        <w:numId w:val="6"/>
      </w:numPr>
      <w:spacing w:before="240" w:after="120" w:line="259" w:lineRule="auto"/>
      <w:jc w:val="center"/>
    </w:pPr>
    <w:rPr>
      <w:rFonts w:ascii="Junicode" w:hAnsi="Junicode" w:eastAsia="Times New Roman" w:cs="Times New Roman"/>
      <w:sz w:val="22"/>
      <w:szCs w:val="16"/>
      <w:lang w:val="en-US" w:eastAsia="en-US" w:bidi="ar-SA"/>
    </w:rPr>
  </w:style>
  <w:style w:type="paragraph" w:customStyle="1" w:styleId="47">
    <w:name w:val="Keyword"/>
    <w:qFormat/>
    <w:uiPriority w:val="0"/>
    <w:pPr>
      <w:spacing w:after="160" w:line="200" w:lineRule="exact"/>
    </w:pPr>
    <w:rPr>
      <w:rFonts w:ascii="Ebrima" w:hAnsi="Ebrima" w:eastAsia="Times New Roman" w:cs="Times New Roman"/>
      <w:sz w:val="14"/>
      <w:szCs w:val="22"/>
      <w:lang w:val="en-US" w:eastAsia="en-US" w:bidi="ar-SA"/>
    </w:rPr>
  </w:style>
  <w:style w:type="paragraph" w:customStyle="1" w:styleId="48">
    <w:name w:val="Copyright"/>
    <w:basedOn w:val="30"/>
    <w:qFormat/>
    <w:uiPriority w:val="0"/>
    <w:pPr>
      <w:framePr w:hSpace="187" w:wrap="around" w:vAnchor="text" w:hAnchor="text" w:y="1"/>
      <w:spacing w:after="0"/>
      <w:jc w:val="right"/>
    </w:pPr>
    <w:rPr>
      <w:sz w:val="17"/>
      <w:szCs w:val="14"/>
    </w:rPr>
  </w:style>
  <w:style w:type="paragraph" w:customStyle="1" w:styleId="49">
    <w:name w:val="Headernum"/>
    <w:basedOn w:val="13"/>
    <w:qFormat/>
    <w:uiPriority w:val="0"/>
    <w:pPr>
      <w:tabs>
        <w:tab w:val="right" w:pos="8788"/>
        <w:tab w:val="clear" w:pos="8789"/>
      </w:tabs>
    </w:pPr>
    <w:rPr>
      <w:sz w:val="16"/>
      <w:szCs w:val="16"/>
    </w:rPr>
  </w:style>
  <w:style w:type="paragraph" w:customStyle="1" w:styleId="50">
    <w:name w:val="table copy"/>
    <w:qFormat/>
    <w:uiPriority w:val="99"/>
    <w:pPr>
      <w:spacing w:after="160" w:line="259" w:lineRule="auto"/>
      <w:jc w:val="center"/>
    </w:pPr>
    <w:rPr>
      <w:rFonts w:ascii="Junicode" w:hAnsi="Junicode" w:eastAsia="Times New Roman" w:cs="Times New Roman"/>
      <w:sz w:val="18"/>
      <w:szCs w:val="16"/>
      <w:lang w:val="en-US" w:eastAsia="en-US" w:bidi="ar-SA"/>
    </w:rPr>
  </w:style>
  <w:style w:type="paragraph" w:customStyle="1" w:styleId="51">
    <w:name w:val="table col subhead"/>
    <w:basedOn w:val="32"/>
    <w:qFormat/>
    <w:uiPriority w:val="99"/>
    <w:rPr>
      <w:i/>
      <w:iCs/>
      <w:sz w:val="19"/>
      <w:szCs w:val="15"/>
    </w:rPr>
  </w:style>
  <w:style w:type="paragraph" w:customStyle="1" w:styleId="52">
    <w:name w:val="references"/>
    <w:qFormat/>
    <w:uiPriority w:val="99"/>
    <w:pPr>
      <w:numPr>
        <w:ilvl w:val="0"/>
        <w:numId w:val="7"/>
      </w:numPr>
      <w:spacing w:after="120" w:line="240" w:lineRule="exact"/>
      <w:ind w:left="357" w:hanging="357"/>
      <w:jc w:val="both"/>
    </w:pPr>
    <w:rPr>
      <w:rFonts w:ascii="Times New Roman" w:hAnsi="Times New Roman" w:eastAsia="Times New Roman" w:cs="Times New Roman"/>
      <w:sz w:val="22"/>
      <w:szCs w:val="16"/>
      <w:lang w:val="en-US" w:eastAsia="en-US" w:bidi="ar-SA"/>
    </w:rPr>
  </w:style>
  <w:style w:type="paragraph" w:customStyle="1" w:styleId="53">
    <w:name w:val="KeywordHead"/>
    <w:next w:val="47"/>
    <w:qFormat/>
    <w:uiPriority w:val="0"/>
    <w:pPr>
      <w:spacing w:after="160" w:line="200" w:lineRule="exact"/>
    </w:pPr>
    <w:rPr>
      <w:rFonts w:ascii="Junicode" w:hAnsi="Junicode" w:eastAsia="Times New Roman" w:cs="Times New Roman"/>
      <w:i/>
      <w:sz w:val="18"/>
      <w:szCs w:val="22"/>
      <w:lang w:val="en-US" w:eastAsia="en-US" w:bidi="ar-SA"/>
    </w:rPr>
  </w:style>
  <w:style w:type="paragraph" w:customStyle="1" w:styleId="54">
    <w:name w:val="Title Nominal"/>
    <w:basedOn w:val="33"/>
    <w:qFormat/>
    <w:uiPriority w:val="0"/>
  </w:style>
  <w:style w:type="character" w:customStyle="1" w:styleId="55">
    <w:name w:val="Unresolved Mention1"/>
    <w:basedOn w:val="8"/>
    <w:semiHidden/>
    <w:unhideWhenUsed/>
    <w:qFormat/>
    <w:uiPriority w:val="99"/>
    <w:rPr>
      <w:color w:val="605E5C"/>
      <w:shd w:val="clear" w:color="auto" w:fill="E1DFDD"/>
    </w:rPr>
  </w:style>
  <w:style w:type="paragraph" w:styleId="56">
    <w:name w:val="List Paragraph"/>
    <w:basedOn w:val="1"/>
    <w:qFormat/>
    <w:uiPriority w:val="34"/>
    <w:pPr>
      <w:ind w:left="720"/>
      <w:contextualSpacing/>
    </w:pPr>
  </w:style>
  <w:style w:type="table" w:customStyle="1" w:styleId="57">
    <w:name w:val="2"/>
    <w:basedOn w:val="9"/>
    <w:qFormat/>
    <w:uiPriority w:val="0"/>
    <w:tblPr>
      <w:tblCellMar>
        <w:left w:w="0" w:type="dxa"/>
        <w:right w:w="0" w:type="dxa"/>
      </w:tblCellMar>
    </w:tblPr>
  </w:style>
  <w:style w:type="table" w:customStyle="1" w:styleId="58">
    <w:name w:val="1"/>
    <w:basedOn w:val="9"/>
    <w:uiPriority w:val="0"/>
    <w:tblPr>
      <w:tblCellMar>
        <w:left w:w="115" w:type="dxa"/>
        <w:right w:w="115" w:type="dxa"/>
      </w:tblCellMar>
    </w:tblPr>
  </w:style>
  <w:style w:type="character" w:customStyle="1" w:styleId="59">
    <w:name w:val="Unresolved Mention"/>
    <w:basedOn w:val="8"/>
    <w:semiHidden/>
    <w:unhideWhenUsed/>
    <w:uiPriority w:val="99"/>
    <w:rPr>
      <w:color w:val="605E5C"/>
      <w:shd w:val="clear" w:color="auto" w:fill="E1DFDD"/>
    </w:rPr>
  </w:style>
  <w:style w:type="paragraph" w:customStyle="1" w:styleId="60">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id-ID"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3.jpeg"/><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LsN5ASgd1dc6mjUvtSIMeA/hQ==">CgMxLjAyCGguZ2pkZ3hzOAByITEyWEVYWDBZcjYzczQ4V0NUY0lxaGZyT2VqanVJUGF0aQ==</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10</Pages>
  <Words>5752</Words>
  <Characters>32789</Characters>
  <Lines>273</Lines>
  <Paragraphs>76</Paragraphs>
  <TotalTime>11</TotalTime>
  <ScaleCrop>false</ScaleCrop>
  <LinksUpToDate>false</LinksUpToDate>
  <CharactersWithSpaces>38465</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2024-08-25T19:10:00Z</dcterms:created>
  <dc:creator>Andri Andini</dc:creator>
  <cp:lastModifiedBy>Kholidiah FEB UWKS</cp:lastModifiedBy>
  <dcterms:modified xsi:type="dcterms:W3CDTF">2025-01-21T02:22:57Z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Mendeley Document_1">
    <vt:lpwstr>True</vt:lpwstr>
  </property>
  <property fmtid="{D5CDD505-2E9C-101B-9397-08002B2CF9AE}" pid="4" name="Mendeley Unique User Id_1">
    <vt:lpwstr>4236fd6f-59da-397f-af61-76c592fafa5d</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PREF_1">
    <vt:lpwstr>&lt;data data-version="3" zotero-version="6.0.27"&gt;&lt;session id="TibULB41"/&gt;&lt;style id="" hasBibliography="0" bibliographyStyleHasBeenSet="0"/&gt;&lt;prefs/&gt;&lt;/data&gt;</vt:lpwstr>
  </property>
  <property fmtid="{D5CDD505-2E9C-101B-9397-08002B2CF9AE}" pid="27" name="ICV">
    <vt:lpwstr>41893BD820A448AB96C7CE7B3438AF71_13</vt:lpwstr>
  </property>
</Properties>
</file>