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66F2" w14:textId="4F3EA3ED" w:rsidR="0062010A" w:rsidRDefault="00551B5D" w:rsidP="00551B5D">
      <w:pPr>
        <w:jc w:val="center"/>
        <w:rPr>
          <w:b/>
          <w:bCs/>
        </w:rPr>
      </w:pPr>
      <w:proofErr w:type="spellStart"/>
      <w:r w:rsidRPr="00551B5D">
        <w:rPr>
          <w:b/>
          <w:bCs/>
        </w:rPr>
        <w:t>Metode</w:t>
      </w:r>
      <w:proofErr w:type="spellEnd"/>
      <w:r w:rsidRPr="00551B5D">
        <w:rPr>
          <w:b/>
          <w:bCs/>
        </w:rPr>
        <w:t xml:space="preserve"> dan </w:t>
      </w:r>
      <w:proofErr w:type="spellStart"/>
      <w:r w:rsidRPr="00551B5D">
        <w:rPr>
          <w:b/>
          <w:bCs/>
        </w:rPr>
        <w:t>Tabel</w:t>
      </w:r>
      <w:proofErr w:type="spellEnd"/>
      <w:r w:rsidRPr="00551B5D">
        <w:rPr>
          <w:b/>
          <w:bCs/>
        </w:rPr>
        <w:t xml:space="preserve"> Hasil </w:t>
      </w:r>
      <w:proofErr w:type="spellStart"/>
      <w:r w:rsidRPr="00551B5D">
        <w:rPr>
          <w:b/>
          <w:bCs/>
        </w:rPr>
        <w:t>Penelitian</w:t>
      </w:r>
      <w:proofErr w:type="spellEnd"/>
    </w:p>
    <w:p w14:paraId="408AE507" w14:textId="77777777" w:rsidR="00551B5D" w:rsidRPr="001C19BA" w:rsidRDefault="00551B5D" w:rsidP="00551B5D">
      <w:pPr>
        <w:spacing w:after="0" w:line="240" w:lineRule="auto"/>
        <w:ind w:firstLine="720"/>
        <w:jc w:val="both"/>
        <w:rPr>
          <w:rFonts w:eastAsia="Times New Roman" w:cstheme="minorHAnsi"/>
          <w:color w:val="000000" w:themeColor="text1"/>
          <w:kern w:val="24"/>
          <w:sz w:val="24"/>
          <w:szCs w:val="24"/>
        </w:rPr>
      </w:pPr>
    </w:p>
    <w:p w14:paraId="2B8113A3" w14:textId="77777777" w:rsidR="00551B5D" w:rsidRPr="00EE04C3" w:rsidRDefault="00551B5D" w:rsidP="00551B5D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4"/>
          <w:szCs w:val="24"/>
        </w:rPr>
      </w:pPr>
      <w:proofErr w:type="spell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Tabel</w:t>
      </w:r>
      <w:proofErr w:type="spell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1 :</w:t>
      </w:r>
      <w:proofErr w:type="gram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 </w:t>
      </w:r>
      <w:proofErr w:type="spell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Pedoman</w:t>
      </w:r>
      <w:proofErr w:type="spell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Penilaian</w:t>
      </w:r>
      <w:proofErr w:type="spell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Perokok</w:t>
      </w:r>
      <w:proofErr w:type="spell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berdasarkan</w:t>
      </w:r>
      <w:proofErr w:type="spellEnd"/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4"/>
          <w:szCs w:val="24"/>
        </w:rPr>
        <w:t>Fragestrom</w:t>
      </w:r>
      <w:proofErr w:type="spellEnd"/>
      <w:r w:rsidRPr="00EE04C3"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4"/>
          <w:szCs w:val="24"/>
        </w:rPr>
        <w:t xml:space="preserve"> Test for Nicotine Dependence </w:t>
      </w:r>
      <w:r w:rsidRPr="00EE04C3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</w:rPr>
        <w:t>(FTND)</w:t>
      </w:r>
    </w:p>
    <w:p w14:paraId="11DB22BE" w14:textId="77777777" w:rsidR="00551B5D" w:rsidRPr="00EE04C3" w:rsidRDefault="00551B5D" w:rsidP="00551B5D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4075"/>
        <w:gridCol w:w="1276"/>
        <w:gridCol w:w="709"/>
        <w:gridCol w:w="1417"/>
      </w:tblGrid>
      <w:tr w:rsidR="00551B5D" w:rsidRPr="00EE04C3" w14:paraId="7BAE9049" w14:textId="77777777" w:rsidTr="00D2302F">
        <w:tc>
          <w:tcPr>
            <w:tcW w:w="461" w:type="dxa"/>
          </w:tcPr>
          <w:p w14:paraId="1ED0944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No</w:t>
            </w:r>
          </w:p>
        </w:tc>
        <w:tc>
          <w:tcPr>
            <w:tcW w:w="4075" w:type="dxa"/>
          </w:tcPr>
          <w:p w14:paraId="42D5966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276" w:type="dxa"/>
          </w:tcPr>
          <w:p w14:paraId="16F6C34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709" w:type="dxa"/>
          </w:tcPr>
          <w:p w14:paraId="13AD816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Skor</w:t>
            </w:r>
          </w:p>
        </w:tc>
        <w:tc>
          <w:tcPr>
            <w:tcW w:w="1417" w:type="dxa"/>
          </w:tcPr>
          <w:p w14:paraId="024A691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Interpretasi</w:t>
            </w:r>
            <w:proofErr w:type="spellEnd"/>
          </w:p>
        </w:tc>
      </w:tr>
      <w:tr w:rsidR="00551B5D" w:rsidRPr="00EE04C3" w14:paraId="69408AF4" w14:textId="77777777" w:rsidTr="00D2302F">
        <w:tc>
          <w:tcPr>
            <w:tcW w:w="461" w:type="dxa"/>
            <w:vMerge w:val="restart"/>
            <w:vAlign w:val="center"/>
          </w:tcPr>
          <w:p w14:paraId="72E2472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4075" w:type="dxa"/>
            <w:vMerge w:val="restart"/>
            <w:vAlign w:val="center"/>
          </w:tcPr>
          <w:p w14:paraId="6DD116C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Berapa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jumlah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yang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anda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hisap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setiap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0962FE1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sym w:font="Symbol" w:char="F0A3"/>
            </w: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5BAD508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</w:tcPr>
          <w:p w14:paraId="5B8B667A" w14:textId="77777777" w:rsidR="00551B5D" w:rsidRPr="00EE04C3" w:rsidRDefault="00551B5D" w:rsidP="00D2302F">
            <w:pPr>
              <w:jc w:val="both"/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0DE7369B" w14:textId="77777777" w:rsidR="00551B5D" w:rsidRPr="00EE04C3" w:rsidRDefault="00551B5D" w:rsidP="00D2302F">
            <w:pPr>
              <w:jc w:val="both"/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7A269B71" w14:textId="77777777" w:rsidR="00551B5D" w:rsidRPr="00EE04C3" w:rsidRDefault="00551B5D" w:rsidP="00D2302F">
            <w:pPr>
              <w:jc w:val="both"/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362634AA" w14:textId="77777777" w:rsidR="00551B5D" w:rsidRPr="00EE04C3" w:rsidRDefault="00551B5D" w:rsidP="00D2302F">
            <w:pPr>
              <w:jc w:val="both"/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  <w:p w14:paraId="72BF25E9" w14:textId="77777777" w:rsidR="00551B5D" w:rsidRPr="00EE04C3" w:rsidRDefault="00551B5D" w:rsidP="00D2302F">
            <w:pPr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Total Skor:</w:t>
            </w: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0-4: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Perokok</w:t>
            </w:r>
            <w:proofErr w:type="spellEnd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ringan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5-7: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Perokok</w:t>
            </w:r>
            <w:proofErr w:type="spellEnd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sedang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&gt;7: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Perokok</w:t>
            </w:r>
            <w:proofErr w:type="spellEnd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Style w:val="fontstyle01"/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berat</w:t>
            </w:r>
            <w:proofErr w:type="spellEnd"/>
          </w:p>
          <w:p w14:paraId="2A1E58C7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4E38CBDF" w14:textId="77777777" w:rsidTr="00D2302F">
        <w:tc>
          <w:tcPr>
            <w:tcW w:w="461" w:type="dxa"/>
            <w:vMerge/>
          </w:tcPr>
          <w:p w14:paraId="6C1FA97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15B58A4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7BC3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11-20</w:t>
            </w:r>
          </w:p>
        </w:tc>
        <w:tc>
          <w:tcPr>
            <w:tcW w:w="709" w:type="dxa"/>
          </w:tcPr>
          <w:p w14:paraId="224C305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FE779CE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35040C76" w14:textId="77777777" w:rsidTr="00D2302F">
        <w:tc>
          <w:tcPr>
            <w:tcW w:w="461" w:type="dxa"/>
            <w:vMerge/>
          </w:tcPr>
          <w:p w14:paraId="73F2036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267954A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109B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21-30</w:t>
            </w:r>
          </w:p>
        </w:tc>
        <w:tc>
          <w:tcPr>
            <w:tcW w:w="709" w:type="dxa"/>
          </w:tcPr>
          <w:p w14:paraId="7DCDBDA3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58F11D7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7244984F" w14:textId="77777777" w:rsidTr="00D2302F">
        <w:tc>
          <w:tcPr>
            <w:tcW w:w="461" w:type="dxa"/>
            <w:vMerge/>
          </w:tcPr>
          <w:p w14:paraId="775EE77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0EE320A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80E0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&gt;30</w:t>
            </w:r>
          </w:p>
        </w:tc>
        <w:tc>
          <w:tcPr>
            <w:tcW w:w="709" w:type="dxa"/>
          </w:tcPr>
          <w:p w14:paraId="44EE928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0F77640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173CB37C" w14:textId="77777777" w:rsidTr="00D2302F">
        <w:tc>
          <w:tcPr>
            <w:tcW w:w="461" w:type="dxa"/>
            <w:vMerge w:val="restart"/>
            <w:vAlign w:val="center"/>
          </w:tcPr>
          <w:p w14:paraId="4C940B0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4075" w:type="dxa"/>
            <w:vMerge w:val="restart"/>
            <w:vAlign w:val="center"/>
          </w:tcPr>
          <w:p w14:paraId="66770C63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Waktu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setelah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bangun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tidur</w:t>
            </w:r>
            <w:proofErr w:type="spellEnd"/>
          </w:p>
        </w:tc>
        <w:tc>
          <w:tcPr>
            <w:tcW w:w="1276" w:type="dxa"/>
          </w:tcPr>
          <w:p w14:paraId="002328CE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&lt;5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709" w:type="dxa"/>
          </w:tcPr>
          <w:p w14:paraId="5FE11D7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</w:tcPr>
          <w:p w14:paraId="5A33FB4E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4D7081C6" w14:textId="77777777" w:rsidTr="00D2302F">
        <w:tc>
          <w:tcPr>
            <w:tcW w:w="461" w:type="dxa"/>
            <w:vMerge/>
            <w:vAlign w:val="center"/>
          </w:tcPr>
          <w:p w14:paraId="0EBE4ED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35E3BA8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321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0-30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709" w:type="dxa"/>
          </w:tcPr>
          <w:p w14:paraId="03C8A76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14:paraId="43CA92D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125C74CA" w14:textId="77777777" w:rsidTr="00D2302F">
        <w:tc>
          <w:tcPr>
            <w:tcW w:w="461" w:type="dxa"/>
            <w:vMerge/>
            <w:vAlign w:val="center"/>
          </w:tcPr>
          <w:p w14:paraId="702F54D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62D6494B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69AE3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31-60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709" w:type="dxa"/>
          </w:tcPr>
          <w:p w14:paraId="4B30CBBC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A04B9E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7D1933F4" w14:textId="77777777" w:rsidTr="00D2302F">
        <w:tc>
          <w:tcPr>
            <w:tcW w:w="461" w:type="dxa"/>
            <w:vMerge/>
            <w:vAlign w:val="center"/>
          </w:tcPr>
          <w:p w14:paraId="7FF920C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136A6ED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2C241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&gt; 60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709" w:type="dxa"/>
          </w:tcPr>
          <w:p w14:paraId="3970B62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409F56D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6443E1CF" w14:textId="77777777" w:rsidTr="00D2302F">
        <w:tc>
          <w:tcPr>
            <w:tcW w:w="461" w:type="dxa"/>
            <w:vMerge w:val="restart"/>
            <w:vAlign w:val="center"/>
          </w:tcPr>
          <w:p w14:paraId="4AEB2448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4075" w:type="dxa"/>
            <w:vMerge w:val="restart"/>
            <w:vAlign w:val="center"/>
          </w:tcPr>
          <w:p w14:paraId="39DBB5C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Apakah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anda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mersa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sulit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menahan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diri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untuk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di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tempat-tempat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yang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dilarang</w:t>
            </w:r>
            <w:proofErr w:type="spellEnd"/>
          </w:p>
        </w:tc>
        <w:tc>
          <w:tcPr>
            <w:tcW w:w="1276" w:type="dxa"/>
          </w:tcPr>
          <w:p w14:paraId="3CD8473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709" w:type="dxa"/>
          </w:tcPr>
          <w:p w14:paraId="502FDE5E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772A57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17CF411E" w14:textId="77777777" w:rsidTr="00D2302F">
        <w:tc>
          <w:tcPr>
            <w:tcW w:w="461" w:type="dxa"/>
            <w:vMerge/>
            <w:vAlign w:val="center"/>
          </w:tcPr>
          <w:p w14:paraId="1B3AB8E3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36D3AB8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7B2A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709" w:type="dxa"/>
          </w:tcPr>
          <w:p w14:paraId="323CB5DD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5E199E0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0E02B6F2" w14:textId="77777777" w:rsidTr="00D2302F">
        <w:tc>
          <w:tcPr>
            <w:tcW w:w="461" w:type="dxa"/>
            <w:vMerge w:val="restart"/>
            <w:vAlign w:val="center"/>
          </w:tcPr>
          <w:p w14:paraId="0501CA9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4075" w:type="dxa"/>
            <w:vMerge w:val="restart"/>
            <w:vAlign w:val="center"/>
          </w:tcPr>
          <w:p w14:paraId="30C56FD3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Waktu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yang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yang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sulit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untuk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anda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tinggalkan</w:t>
            </w:r>
            <w:proofErr w:type="spellEnd"/>
          </w:p>
        </w:tc>
        <w:tc>
          <w:tcPr>
            <w:tcW w:w="1276" w:type="dxa"/>
          </w:tcPr>
          <w:p w14:paraId="215FC64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Yang pertama di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pagi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9" w:type="dxa"/>
          </w:tcPr>
          <w:p w14:paraId="72453B7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6508647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729C5812" w14:textId="77777777" w:rsidTr="00D2302F">
        <w:tc>
          <w:tcPr>
            <w:tcW w:w="461" w:type="dxa"/>
            <w:vMerge/>
            <w:vAlign w:val="center"/>
          </w:tcPr>
          <w:p w14:paraId="19311E9C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0C6FFF1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A0CF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Semua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yang lain</w:t>
            </w:r>
          </w:p>
        </w:tc>
        <w:tc>
          <w:tcPr>
            <w:tcW w:w="709" w:type="dxa"/>
          </w:tcPr>
          <w:p w14:paraId="13EF4F7F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5EC97BB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1021F8C6" w14:textId="77777777" w:rsidTr="00D2302F">
        <w:tc>
          <w:tcPr>
            <w:tcW w:w="461" w:type="dxa"/>
            <w:vMerge w:val="restart"/>
            <w:vAlign w:val="center"/>
          </w:tcPr>
          <w:p w14:paraId="72EBB20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4075" w:type="dxa"/>
            <w:vMerge w:val="restart"/>
            <w:vAlign w:val="center"/>
          </w:tcPr>
          <w:p w14:paraId="5718E02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Apakah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anda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lebih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banyak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pada jam pertama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setelah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banun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tidur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dibandingkan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saat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istirahat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siang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705C0185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709" w:type="dxa"/>
          </w:tcPr>
          <w:p w14:paraId="14B344D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3C652AA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7306ED57" w14:textId="77777777" w:rsidTr="00D2302F">
        <w:tc>
          <w:tcPr>
            <w:tcW w:w="461" w:type="dxa"/>
            <w:vMerge/>
            <w:vAlign w:val="center"/>
          </w:tcPr>
          <w:p w14:paraId="02518EF0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  <w:vAlign w:val="center"/>
          </w:tcPr>
          <w:p w14:paraId="0DE539D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8F73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709" w:type="dxa"/>
          </w:tcPr>
          <w:p w14:paraId="5D60474D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519C44C4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6FB6DDB1" w14:textId="77777777" w:rsidTr="00D2302F">
        <w:tc>
          <w:tcPr>
            <w:tcW w:w="461" w:type="dxa"/>
            <w:vMerge w:val="restart"/>
            <w:vAlign w:val="center"/>
          </w:tcPr>
          <w:p w14:paraId="6BCC102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4075" w:type="dxa"/>
            <w:vMerge w:val="restart"/>
            <w:vAlign w:val="center"/>
          </w:tcPr>
          <w:p w14:paraId="0E94713A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Apakah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anda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akan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tetap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merokok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ketika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sakit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dan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bahkan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terbaring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di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tempat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tidur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hampir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sepanjang</w:t>
            </w:r>
            <w:proofErr w:type="spellEnd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276" w:type="dxa"/>
          </w:tcPr>
          <w:p w14:paraId="6FC8757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709" w:type="dxa"/>
          </w:tcPr>
          <w:p w14:paraId="784E52CE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6FCB9242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51B5D" w:rsidRPr="00EE04C3" w14:paraId="01DD56B0" w14:textId="77777777" w:rsidTr="00D2302F">
        <w:tc>
          <w:tcPr>
            <w:tcW w:w="461" w:type="dxa"/>
            <w:vMerge/>
          </w:tcPr>
          <w:p w14:paraId="5563C8E9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701F64FD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22FA6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E04C3"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709" w:type="dxa"/>
          </w:tcPr>
          <w:p w14:paraId="5A9AE95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5A591" w14:textId="77777777" w:rsidR="00551B5D" w:rsidRPr="00EE04C3" w:rsidRDefault="00551B5D" w:rsidP="00D2302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14:paraId="23535B75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proofErr w:type="spellStart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Sumber</w:t>
      </w:r>
      <w:proofErr w:type="spellEnd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: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Scollo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&amp; Winstanley, 2018</w:t>
      </w:r>
    </w:p>
    <w:p w14:paraId="4FE84FDA" w14:textId="77777777" w:rsidR="00551B5D" w:rsidRDefault="00551B5D" w:rsidP="00551B5D">
      <w:pPr>
        <w:spacing w:after="0" w:line="240" w:lineRule="auto"/>
        <w:ind w:firstLine="426"/>
        <w:jc w:val="both"/>
        <w:rPr>
          <w:rFonts w:eastAsia="Times New Roman" w:cstheme="minorHAnsi"/>
          <w:color w:val="000000" w:themeColor="text1"/>
          <w:kern w:val="24"/>
          <w:sz w:val="24"/>
          <w:szCs w:val="24"/>
        </w:rPr>
      </w:pPr>
    </w:p>
    <w:p w14:paraId="1E4C3F74" w14:textId="77777777" w:rsidR="00551B5D" w:rsidRPr="00EE04C3" w:rsidRDefault="00551B5D" w:rsidP="00551B5D">
      <w:pPr>
        <w:spacing w:after="0" w:line="240" w:lineRule="auto"/>
        <w:ind w:firstLine="426"/>
        <w:jc w:val="both"/>
        <w:rPr>
          <w:rFonts w:eastAsia="Times New Roman" w:cstheme="minorHAnsi"/>
          <w:color w:val="000000" w:themeColor="text1"/>
          <w:kern w:val="24"/>
          <w:sz w:val="24"/>
          <w:szCs w:val="24"/>
        </w:rPr>
      </w:pPr>
      <w:proofErr w:type="spellStart"/>
      <w:r w:rsidRPr="00EE04C3">
        <w:rPr>
          <w:rFonts w:eastAsia="Times New Roman" w:cstheme="minorHAnsi"/>
          <w:color w:val="000000" w:themeColor="text1"/>
          <w:kern w:val="24"/>
          <w:sz w:val="24"/>
          <w:szCs w:val="24"/>
        </w:rPr>
        <w:t>Kondisi</w:t>
      </w:r>
      <w:proofErr w:type="spellEnd"/>
      <w:r w:rsidRPr="00EE04C3">
        <w:rPr>
          <w:rFonts w:eastAsia="Times New Roman"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jaringan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lunak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jaringan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keras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mulut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dilapisi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oleh tar dan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nikotin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asap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rokok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tembakau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sehingga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nikotin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dapat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berpenetrasi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pada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setiap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sudut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celah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yang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mengakibatkan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terjadinya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stain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hingga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pada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(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Cyinthia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K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dkk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, 2015). </w:t>
      </w:r>
    </w:p>
    <w:p w14:paraId="6E2B1623" w14:textId="77777777" w:rsidR="00551B5D" w:rsidRPr="00EE04C3" w:rsidRDefault="00551B5D" w:rsidP="00551B5D">
      <w:pPr>
        <w:spacing w:after="0" w:line="240" w:lineRule="auto"/>
        <w:ind w:firstLine="426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>Gigi-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yang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dipilih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sebagai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indeks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beserta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indeks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yang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dianggap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mewakili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tiap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segmen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menurut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Putri,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dkk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, (2010) </w:t>
      </w:r>
      <w:proofErr w:type="spellStart"/>
      <w:proofErr w:type="gram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adalah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:</w:t>
      </w:r>
      <w:proofErr w:type="gram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05FD241F" w14:textId="77777777" w:rsidR="00551B5D" w:rsidRPr="00EE04C3" w:rsidRDefault="00551B5D" w:rsidP="00551B5D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16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bukal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</w:t>
      </w:r>
    </w:p>
    <w:p w14:paraId="5B5F5FD9" w14:textId="77777777" w:rsidR="00551B5D" w:rsidRPr="00EE04C3" w:rsidRDefault="00551B5D" w:rsidP="00551B5D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11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labial </w:t>
      </w:r>
    </w:p>
    <w:p w14:paraId="74ECF693" w14:textId="77777777" w:rsidR="00551B5D" w:rsidRPr="00EE04C3" w:rsidRDefault="00551B5D" w:rsidP="00551B5D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26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bukal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</w:t>
      </w:r>
    </w:p>
    <w:p w14:paraId="41BC5113" w14:textId="77777777" w:rsidR="00551B5D" w:rsidRPr="00EE04C3" w:rsidRDefault="00551B5D" w:rsidP="00551B5D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36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lingual </w:t>
      </w:r>
    </w:p>
    <w:p w14:paraId="707F207D" w14:textId="77777777" w:rsidR="00551B5D" w:rsidRPr="00EE04C3" w:rsidRDefault="00551B5D" w:rsidP="00551B5D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31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labial </w:t>
      </w:r>
    </w:p>
    <w:p w14:paraId="580E4C67" w14:textId="77777777" w:rsidR="00551B5D" w:rsidRPr="00EE04C3" w:rsidRDefault="00551B5D" w:rsidP="00551B5D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Gigi 46 pada </w:t>
      </w:r>
      <w:proofErr w:type="spellStart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  <w:t xml:space="preserve"> lingual. </w:t>
      </w:r>
    </w:p>
    <w:p w14:paraId="3795E1F6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Beberapa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kriteria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skor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, </w:t>
      </w:r>
      <w:proofErr w:type="spellStart"/>
      <w:proofErr w:type="gram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yaitu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:</w:t>
      </w:r>
      <w:proofErr w:type="gram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0C0A6C58" w14:textId="77777777" w:rsidR="00551B5D" w:rsidRPr="00EE04C3" w:rsidRDefault="00551B5D" w:rsidP="00551B5D">
      <w:pPr>
        <w:tabs>
          <w:tab w:val="left" w:pos="709"/>
          <w:tab w:val="left" w:pos="993"/>
        </w:tabs>
        <w:spacing w:after="0" w:line="240" w:lineRule="auto"/>
        <w:ind w:left="993" w:hanging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0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  <w:t xml:space="preserve">=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Tidak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ada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06EB1482" w14:textId="77777777" w:rsidR="00551B5D" w:rsidRPr="00EE04C3" w:rsidRDefault="00551B5D" w:rsidP="00551B5D">
      <w:pPr>
        <w:tabs>
          <w:tab w:val="left" w:pos="709"/>
          <w:tab w:val="left" w:pos="993"/>
        </w:tabs>
        <w:spacing w:after="0" w:line="240" w:lineRule="auto"/>
        <w:ind w:left="993" w:hanging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1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  <w:t xml:space="preserve">=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supragingival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menutupi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tidak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lebih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1/3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servikal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. </w:t>
      </w:r>
    </w:p>
    <w:p w14:paraId="037E7CF9" w14:textId="77777777" w:rsidR="00551B5D" w:rsidRPr="00EE04C3" w:rsidRDefault="00551B5D" w:rsidP="00551B5D">
      <w:pPr>
        <w:tabs>
          <w:tab w:val="left" w:pos="709"/>
          <w:tab w:val="left" w:pos="993"/>
        </w:tabs>
        <w:spacing w:after="0" w:line="240" w:lineRule="auto"/>
        <w:ind w:left="993" w:hanging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lastRenderedPageBreak/>
        <w:t xml:space="preserve">2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  <w:t xml:space="preserve">= </w:t>
      </w:r>
      <w:r w:rsidRPr="00EE04C3">
        <w:rPr>
          <w:rFonts w:cstheme="minorHAnsi"/>
          <w:color w:val="000000" w:themeColor="text1"/>
          <w:kern w:val="24"/>
          <w:sz w:val="24"/>
          <w:szCs w:val="24"/>
        </w:rPr>
        <w:tab/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supragingiva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menutupi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lebih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1/3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tapi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kurang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2/3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yang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diperiksa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atau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ada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sedikit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subgingival di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sekeliling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servikal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. </w:t>
      </w:r>
    </w:p>
    <w:p w14:paraId="268D0359" w14:textId="77777777" w:rsidR="00551B5D" w:rsidRPr="00EE04C3" w:rsidRDefault="00551B5D" w:rsidP="00551B5D">
      <w:pPr>
        <w:tabs>
          <w:tab w:val="left" w:pos="709"/>
          <w:tab w:val="left" w:pos="993"/>
        </w:tabs>
        <w:spacing w:after="0" w:line="240" w:lineRule="auto"/>
        <w:ind w:left="993" w:hanging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3 =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supragingiva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menutupi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lebih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2/3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permukaan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atau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ada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subgingival yang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mengelilingi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servikal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. </w:t>
      </w:r>
    </w:p>
    <w:p w14:paraId="0AC62B3A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Cara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menghitung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skor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indeks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yaitu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sebagai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berikut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:</w:t>
      </w:r>
      <w:proofErr w:type="gram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6F7504E4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noProof/>
          <w:color w:val="000000" w:themeColor="text1"/>
          <w:kern w:val="24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A4EC1" wp14:editId="0B6C19DC">
                <wp:simplePos x="0" y="0"/>
                <wp:positionH relativeFrom="column">
                  <wp:posOffset>83820</wp:posOffset>
                </wp:positionH>
                <wp:positionV relativeFrom="paragraph">
                  <wp:posOffset>97790</wp:posOffset>
                </wp:positionV>
                <wp:extent cx="3626485" cy="482600"/>
                <wp:effectExtent l="57150" t="19050" r="69215" b="889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6485" cy="48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AE49D" id="Rectangle 1" o:spid="_x0000_s1026" style="position:absolute;margin-left:6.6pt;margin-top:7.7pt;width:285.55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" filled="f" strokecolor="black [3213]" strokeweight="1pt"/>
            </w:pict>
          </mc:Fallback>
        </mc:AlternateContent>
      </w:r>
    </w:p>
    <w:p w14:paraId="7749A133" w14:textId="77777777" w:rsidR="00551B5D" w:rsidRPr="00EE04C3" w:rsidRDefault="00551B5D" w:rsidP="00551B5D">
      <w:pPr>
        <w:spacing w:after="0" w:line="240" w:lineRule="auto"/>
        <w:ind w:left="426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Skor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indeks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kern w:val="24"/>
                <w:sz w:val="24"/>
                <w:szCs w:val="24"/>
              </w:rPr>
              <m:t>Jumlah penilaian kalkulus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kern w:val="24"/>
                <w:sz w:val="24"/>
                <w:szCs w:val="24"/>
              </w:rPr>
              <m:t>Jumlah segmen gigi yang diperiksa</m:t>
            </m:r>
          </m:den>
        </m:f>
      </m:oMath>
    </w:p>
    <w:p w14:paraId="5EBA23D3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25FD5110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021B8C83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Menurut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Greene and Vermillion,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kriteria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penilaian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kalkulus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mengikuti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ketentuan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sebagai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berikut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:</w:t>
      </w:r>
      <w:proofErr w:type="gram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1)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Baik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dengan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skor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0-0,6 ; 2) Sedang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dengan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skor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0,7-1,8 dan 3)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Buruk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dengan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skor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1,9-3,0. </w:t>
      </w:r>
    </w:p>
    <w:p w14:paraId="75EA2BD1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color w:val="000000" w:themeColor="text1"/>
          <w:kern w:val="24"/>
          <w:sz w:val="24"/>
          <w:szCs w:val="24"/>
        </w:rPr>
        <w:br w:type="page"/>
      </w:r>
    </w:p>
    <w:p w14:paraId="339FF3E7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noProof/>
          <w:color w:val="000000" w:themeColor="text1"/>
          <w:kern w:val="24"/>
          <w:sz w:val="24"/>
          <w:szCs w:val="24"/>
          <w:lang w:eastAsia="zh-TW"/>
        </w:rPr>
        <w:lastRenderedPageBreak/>
        <w:drawing>
          <wp:anchor distT="0" distB="0" distL="114300" distR="114300" simplePos="0" relativeHeight="251660288" behindDoc="0" locked="0" layoutInCell="1" allowOverlap="1" wp14:anchorId="4D28B4EF" wp14:editId="2DB20E84">
            <wp:simplePos x="0" y="0"/>
            <wp:positionH relativeFrom="column">
              <wp:posOffset>1826610</wp:posOffset>
            </wp:positionH>
            <wp:positionV relativeFrom="paragraph">
              <wp:posOffset>252730</wp:posOffset>
            </wp:positionV>
            <wp:extent cx="1479479" cy="1980218"/>
            <wp:effectExtent l="0" t="0" r="6985" b="1270"/>
            <wp:wrapNone/>
            <wp:docPr id="10" name="Picture 10" descr="D:\SKRIPSI BARU BELUM SELESAI\FK\FAUZIA\MEI 2020\g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KRIPSI BARU BELUM SELESAI\FK\FAUZIA\MEI 2020\gi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79" cy="198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Susunan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dapat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di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lihat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pada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gambar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berikut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color w:val="000000" w:themeColor="text1"/>
          <w:kern w:val="24"/>
          <w:sz w:val="24"/>
          <w:szCs w:val="24"/>
        </w:rPr>
        <w:t>ini</w:t>
      </w:r>
      <w:proofErr w:type="spellEnd"/>
      <w:r w:rsidRPr="00EE04C3">
        <w:rPr>
          <w:rFonts w:cstheme="minorHAnsi"/>
          <w:color w:val="000000" w:themeColor="text1"/>
          <w:kern w:val="24"/>
          <w:sz w:val="24"/>
          <w:szCs w:val="24"/>
        </w:rPr>
        <w:t>:</w:t>
      </w:r>
    </w:p>
    <w:p w14:paraId="1A5CC2F5" w14:textId="77777777" w:rsidR="00551B5D" w:rsidRPr="00EE04C3" w:rsidRDefault="00551B5D" w:rsidP="00551B5D">
      <w:pPr>
        <w:spacing w:after="0" w:line="240" w:lineRule="auto"/>
        <w:ind w:left="426" w:firstLine="567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noProof/>
          <w:sz w:val="24"/>
          <w:szCs w:val="24"/>
          <w:lang w:eastAsia="zh-TW"/>
        </w:rPr>
        <mc:AlternateContent>
          <mc:Choice Requires="wps">
            <w:drawing>
              <wp:inline distT="0" distB="0" distL="0" distR="0" wp14:anchorId="22E3A1B1" wp14:editId="11BEBE92">
                <wp:extent cx="304800" cy="304800"/>
                <wp:effectExtent l="0" t="0" r="0" b="0"/>
                <wp:docPr id="6" name="Rectangle 6" descr="https://elu5.ee/wp-content/uploads/2019/02/Ecosh.com-1-1-724x10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7B31E" id="Rectangle 6" o:spid="_x0000_s1026" alt="https://elu5.ee/wp-content/uploads/2019/02/Ecosh.com-1-1-724x10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UyTFEeAgAAEgQ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  <w:r w:rsidRPr="00EE04C3">
        <w:rPr>
          <w:rFonts w:eastAsia="Times New Roman" w:cstheme="minorHAnsi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73AFE2E7" w14:textId="77777777" w:rsidR="00551B5D" w:rsidRPr="00EE04C3" w:rsidRDefault="00551B5D" w:rsidP="00551B5D">
      <w:pPr>
        <w:pStyle w:val="ListParagraph"/>
        <w:spacing w:line="240" w:lineRule="auto"/>
        <w:ind w:left="426" w:firstLine="567"/>
        <w:jc w:val="both"/>
        <w:rPr>
          <w:rFonts w:asciiTheme="minorHAnsi" w:hAnsiTheme="minorHAnsi" w:cstheme="minorHAnsi"/>
          <w:color w:val="000000" w:themeColor="text1"/>
          <w:kern w:val="24"/>
          <w:sz w:val="24"/>
          <w:szCs w:val="24"/>
        </w:rPr>
      </w:pPr>
    </w:p>
    <w:p w14:paraId="3DA0B712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599C10D1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533E159D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0FD01343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3C7FA20B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07785C63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2F7CF405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67AA242D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</w:p>
    <w:p w14:paraId="053AD3AE" w14:textId="77777777" w:rsidR="00551B5D" w:rsidRPr="00EE04C3" w:rsidRDefault="00551B5D" w:rsidP="00551B5D">
      <w:pPr>
        <w:spacing w:after="0" w:line="240" w:lineRule="auto"/>
        <w:ind w:left="567"/>
        <w:jc w:val="center"/>
        <w:rPr>
          <w:rFonts w:cstheme="minorHAnsi"/>
          <w:b/>
          <w:bCs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Gambar </w:t>
      </w:r>
      <w:r>
        <w:rPr>
          <w:rFonts w:cstheme="minorHAnsi"/>
          <w:b/>
          <w:bCs/>
          <w:color w:val="000000" w:themeColor="text1"/>
          <w:kern w:val="24"/>
          <w:sz w:val="24"/>
          <w:szCs w:val="24"/>
        </w:rPr>
        <w:t>1</w:t>
      </w:r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:</w:t>
      </w:r>
      <w:r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Struktur</w:t>
      </w:r>
      <w:proofErr w:type="spellEnd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gigi</w:t>
      </w:r>
      <w:proofErr w:type="spellEnd"/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.</w:t>
      </w:r>
    </w:p>
    <w:p w14:paraId="3CD75AF5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CC92AF1" w14:textId="77777777" w:rsidR="00551B5D" w:rsidRPr="00EE04C3" w:rsidRDefault="00551B5D" w:rsidP="00551B5D">
      <w:pPr>
        <w:spacing w:after="0" w:line="240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</w:p>
    <w:p w14:paraId="3C813365" w14:textId="77777777" w:rsidR="00551B5D" w:rsidRDefault="00551B5D" w:rsidP="00551B5D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24"/>
          <w:sz w:val="24"/>
          <w:szCs w:val="24"/>
        </w:rPr>
      </w:pPr>
      <w:r w:rsidRPr="00EE04C3">
        <w:rPr>
          <w:rFonts w:cstheme="minorHAnsi"/>
          <w:b/>
          <w:bCs/>
          <w:color w:val="000000" w:themeColor="text1"/>
          <w:kern w:val="24"/>
          <w:sz w:val="24"/>
          <w:szCs w:val="24"/>
        </w:rPr>
        <w:t>HASIL PENELITIAN</w:t>
      </w:r>
    </w:p>
    <w:p w14:paraId="439D8D59" w14:textId="77777777" w:rsidR="00551B5D" w:rsidRPr="00320D65" w:rsidRDefault="00551B5D" w:rsidP="00551B5D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</w:rPr>
      </w:pPr>
      <w:r>
        <w:rPr>
          <w:rFonts w:cstheme="minorHAnsi"/>
          <w:color w:val="000000" w:themeColor="text1"/>
          <w:kern w:val="24"/>
          <w:sz w:val="24"/>
          <w:szCs w:val="24"/>
        </w:rPr>
        <w:t xml:space="preserve">Dari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Penelitian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diatas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didapatkan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hasil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yang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dapat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dilihat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kern w:val="24"/>
          <w:sz w:val="24"/>
          <w:szCs w:val="24"/>
        </w:rPr>
        <w:t>dari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table </w:t>
      </w:r>
      <w:proofErr w:type="spellStart"/>
      <w:proofErr w:type="gramStart"/>
      <w:r>
        <w:rPr>
          <w:rFonts w:cstheme="minorHAnsi"/>
          <w:color w:val="000000" w:themeColor="text1"/>
          <w:kern w:val="24"/>
          <w:sz w:val="24"/>
          <w:szCs w:val="24"/>
        </w:rPr>
        <w:t>berikut</w:t>
      </w:r>
      <w:proofErr w:type="spellEnd"/>
      <w:r>
        <w:rPr>
          <w:rFonts w:cstheme="minorHAnsi"/>
          <w:color w:val="000000" w:themeColor="text1"/>
          <w:kern w:val="24"/>
          <w:sz w:val="24"/>
          <w:szCs w:val="24"/>
        </w:rPr>
        <w:t xml:space="preserve"> :</w:t>
      </w:r>
      <w:proofErr w:type="gramEnd"/>
    </w:p>
    <w:p w14:paraId="0E445924" w14:textId="77777777" w:rsidR="00551B5D" w:rsidRPr="00EE04C3" w:rsidRDefault="00551B5D" w:rsidP="00551B5D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24"/>
          <w:sz w:val="24"/>
          <w:szCs w:val="24"/>
        </w:rPr>
      </w:pPr>
    </w:p>
    <w:p w14:paraId="6F1C6A54" w14:textId="77777777" w:rsidR="00551B5D" w:rsidRPr="00320D65" w:rsidRDefault="00551B5D" w:rsidP="00551B5D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Tabel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2.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Tabulasi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silang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antara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r w:rsidRPr="00320D65">
        <w:rPr>
          <w:rFonts w:cstheme="minorHAnsi"/>
          <w:b/>
          <w:color w:val="000000"/>
          <w:sz w:val="24"/>
          <w:szCs w:val="24"/>
        </w:rPr>
        <w:t xml:space="preserve">lama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merokok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dengan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kategori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kebiasaan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merokok</w:t>
      </w:r>
      <w:proofErr w:type="spellEnd"/>
    </w:p>
    <w:tbl>
      <w:tblPr>
        <w:tblpPr w:leftFromText="180" w:rightFromText="180" w:vertAnchor="text" w:horzAnchor="margin" w:tblpY="220"/>
        <w:tblW w:w="7230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196"/>
        <w:gridCol w:w="1276"/>
        <w:gridCol w:w="1417"/>
        <w:gridCol w:w="992"/>
        <w:gridCol w:w="1134"/>
        <w:gridCol w:w="1135"/>
      </w:tblGrid>
      <w:tr w:rsidR="00551B5D" w:rsidRPr="00320D65" w14:paraId="79C4BCB0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817D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t>Kebiasaan</w:t>
            </w:r>
            <w:proofErr w:type="spellEnd"/>
            <w:r w:rsidRPr="00320D6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t>Merokok</w:t>
            </w:r>
            <w:proofErr w:type="spellEnd"/>
          </w:p>
        </w:tc>
        <w:tc>
          <w:tcPr>
            <w:tcW w:w="3685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69E2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Lama </w:t>
            </w:r>
            <w:proofErr w:type="spellStart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>Merokok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DB68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60A01EA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Uji Chi-Square</w:t>
            </w:r>
          </w:p>
        </w:tc>
      </w:tr>
      <w:tr w:rsidR="00551B5D" w:rsidRPr="00320D65" w14:paraId="77966FE2" w14:textId="77777777" w:rsidTr="00D2302F">
        <w:trPr>
          <w:cantSplit/>
          <w:tblHeader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7ABD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8335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2-5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6817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6-10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10E18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&lt;1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A906A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127041B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372438CE" w14:textId="77777777" w:rsidTr="00D2302F">
        <w:trPr>
          <w:cantSplit/>
          <w:tblHeader/>
        </w:trPr>
        <w:tc>
          <w:tcPr>
            <w:tcW w:w="8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4F1FD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58D4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Ringan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8A385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FF6A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68CC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4ABC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550DDAB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F8B680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color w:val="000000" w:themeColor="text1"/>
                <w:kern w:val="24"/>
                <w:sz w:val="24"/>
                <w:szCs w:val="24"/>
                <w:lang w:val="sv-SE"/>
              </w:rPr>
            </w:pPr>
          </w:p>
          <w:p w14:paraId="7222C96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Value=</w:t>
            </w:r>
          </w:p>
          <w:p w14:paraId="3B96689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14.024</w:t>
            </w:r>
          </w:p>
          <w:p w14:paraId="1437246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Sig=</w:t>
            </w:r>
          </w:p>
          <w:p w14:paraId="227D2C9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0.007</w:t>
            </w:r>
          </w:p>
        </w:tc>
      </w:tr>
      <w:tr w:rsidR="00551B5D" w:rsidRPr="00320D65" w14:paraId="19907592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4072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37EF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9D59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85.7%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3ED3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0AF2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14.3%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5C1FE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39414F6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42E3649E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FB104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C03A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15F12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1D8F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E17A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D84C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Merge/>
            <w:shd w:val="clear" w:color="auto" w:fill="FFFFFF"/>
          </w:tcPr>
          <w:p w14:paraId="48BAD75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40C126CB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7D69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104CD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138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66.7%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37BF3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33.3%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FADA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A4844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387377A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6FA659AD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A024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6310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41EE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26EB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D4FF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2BF5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shd w:val="clear" w:color="auto" w:fill="FFFFFF"/>
          </w:tcPr>
          <w:p w14:paraId="73A3D81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335E408A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B21F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375D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2BD8C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700F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CB49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8A27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76CD0C5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49A6274C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EC22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A373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520E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C3BA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9215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vMerge/>
            <w:shd w:val="clear" w:color="auto" w:fill="FFFFFF"/>
          </w:tcPr>
          <w:p w14:paraId="08914F9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0651524E" w14:textId="77777777" w:rsidTr="00D2302F">
        <w:trPr>
          <w:cantSplit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3E5C3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54A8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68.2%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E909F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22.7%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10CC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9.1%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C4B87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11E481B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8CF215F" w14:textId="77777777" w:rsidR="00551B5D" w:rsidRPr="00320D65" w:rsidRDefault="00551B5D" w:rsidP="00551B5D">
      <w:pPr>
        <w:spacing w:after="0"/>
        <w:rPr>
          <w:rFonts w:cstheme="minorHAnsi"/>
          <w:b/>
          <w:sz w:val="24"/>
          <w:szCs w:val="24"/>
        </w:rPr>
      </w:pPr>
    </w:p>
    <w:p w14:paraId="3D402BB4" w14:textId="77777777" w:rsidR="00551B5D" w:rsidRPr="00320D65" w:rsidRDefault="00551B5D" w:rsidP="00551B5D">
      <w:pPr>
        <w:autoSpaceDE w:val="0"/>
        <w:autoSpaceDN w:val="0"/>
        <w:adjustRightInd w:val="0"/>
        <w:spacing w:after="0" w:line="480" w:lineRule="auto"/>
        <w:ind w:left="709"/>
        <w:rPr>
          <w:rFonts w:cstheme="minorHAnsi"/>
          <w:sz w:val="24"/>
          <w:szCs w:val="24"/>
        </w:rPr>
      </w:pPr>
      <w:proofErr w:type="spellStart"/>
      <w:proofErr w:type="gramStart"/>
      <w:r w:rsidRPr="00320D65">
        <w:rPr>
          <w:rFonts w:cstheme="minorHAnsi"/>
          <w:sz w:val="24"/>
          <w:szCs w:val="24"/>
        </w:rPr>
        <w:t>Sumber</w:t>
      </w:r>
      <w:proofErr w:type="spellEnd"/>
      <w:r w:rsidRPr="00320D65">
        <w:rPr>
          <w:rFonts w:cstheme="minorHAnsi"/>
          <w:sz w:val="24"/>
          <w:szCs w:val="24"/>
        </w:rPr>
        <w:t xml:space="preserve"> :</w:t>
      </w:r>
      <w:r w:rsidRPr="00320D65">
        <w:rPr>
          <w:rFonts w:cstheme="minorHAnsi"/>
          <w:sz w:val="24"/>
          <w:szCs w:val="24"/>
          <w:lang w:val="id-ID"/>
        </w:rPr>
        <w:t>Data</w:t>
      </w:r>
      <w:proofErr w:type="gramEnd"/>
      <w:r w:rsidRPr="00320D65">
        <w:rPr>
          <w:rFonts w:cstheme="minorHAnsi"/>
          <w:sz w:val="24"/>
          <w:szCs w:val="24"/>
        </w:rPr>
        <w:t xml:space="preserve"> Primer, 2019</w:t>
      </w:r>
    </w:p>
    <w:p w14:paraId="61D96B56" w14:textId="77777777" w:rsidR="00551B5D" w:rsidRPr="00320D65" w:rsidRDefault="00551B5D" w:rsidP="00551B5D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color w:val="000000"/>
          <w:spacing w:val="1"/>
          <w:sz w:val="24"/>
          <w:szCs w:val="24"/>
        </w:rPr>
        <w:t>Tabel</w:t>
      </w:r>
      <w:proofErr w:type="spellEnd"/>
      <w:r>
        <w:rPr>
          <w:rFonts w:cstheme="minorHAnsi"/>
          <w:b/>
          <w:color w:val="000000"/>
          <w:spacing w:val="1"/>
          <w:sz w:val="24"/>
          <w:szCs w:val="24"/>
        </w:rPr>
        <w:t xml:space="preserve"> 3.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Tabulasi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silang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antara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jumlah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rokok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per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hari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dengan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kategori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kebiasaan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merokok</w:t>
      </w:r>
      <w:proofErr w:type="spellEnd"/>
    </w:p>
    <w:p w14:paraId="6CF79F00" w14:textId="77777777" w:rsidR="00551B5D" w:rsidRPr="00320D65" w:rsidRDefault="00551B5D" w:rsidP="00551B5D">
      <w:pPr>
        <w:spacing w:after="0" w:line="240" w:lineRule="auto"/>
        <w:rPr>
          <w:rFonts w:eastAsia="Times New Roman" w:cstheme="minorHAnsi"/>
          <w:b/>
          <w:bCs/>
          <w:color w:val="000000" w:themeColor="text1"/>
          <w:kern w:val="24"/>
          <w:sz w:val="24"/>
          <w:szCs w:val="24"/>
        </w:rPr>
      </w:pPr>
    </w:p>
    <w:tbl>
      <w:tblPr>
        <w:tblpPr w:leftFromText="180" w:rightFromText="180" w:horzAnchor="margin" w:tblpY="-770"/>
        <w:tblW w:w="7230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196"/>
        <w:gridCol w:w="1276"/>
        <w:gridCol w:w="1417"/>
        <w:gridCol w:w="1134"/>
        <w:gridCol w:w="992"/>
        <w:gridCol w:w="1135"/>
      </w:tblGrid>
      <w:tr w:rsidR="00551B5D" w:rsidRPr="00320D65" w14:paraId="79A3CBE3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9BBE4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Kebiasaan</w:t>
            </w:r>
            <w:proofErr w:type="spellEnd"/>
            <w:r w:rsidRPr="00320D6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t>Merokok</w:t>
            </w:r>
            <w:proofErr w:type="spellEnd"/>
          </w:p>
        </w:tc>
        <w:tc>
          <w:tcPr>
            <w:tcW w:w="3827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DEBC2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>Rokok</w:t>
            </w:r>
            <w:proofErr w:type="spellEnd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>Dihisap</w:t>
            </w:r>
            <w:proofErr w:type="spellEnd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 Per Hari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E5C7D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2C3147F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Uji Chi-Square</w:t>
            </w:r>
          </w:p>
        </w:tc>
      </w:tr>
      <w:tr w:rsidR="00551B5D" w:rsidRPr="00320D65" w14:paraId="402BDA39" w14:textId="77777777" w:rsidTr="00D2302F">
        <w:trPr>
          <w:cantSplit/>
          <w:tblHeader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D1C3E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54E88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A6A8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5-14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66A5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&gt;5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batang</w:t>
            </w:r>
            <w:proofErr w:type="spellEnd"/>
          </w:p>
        </w:tc>
        <w:tc>
          <w:tcPr>
            <w:tcW w:w="992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AA00D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14:paraId="79EE25C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6D347E3C" w14:textId="77777777" w:rsidTr="00D2302F">
        <w:trPr>
          <w:cantSplit/>
          <w:tblHeader/>
        </w:trPr>
        <w:tc>
          <w:tcPr>
            <w:tcW w:w="8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F86A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DE5F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Ringan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2B6C2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FE11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CB048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A5CD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14:paraId="6B4909E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C0E0D0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color w:val="000000" w:themeColor="text1"/>
                <w:kern w:val="24"/>
                <w:sz w:val="24"/>
                <w:szCs w:val="24"/>
                <w:lang w:val="sv-SE"/>
              </w:rPr>
            </w:pPr>
          </w:p>
          <w:p w14:paraId="7215C5C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Value=</w:t>
            </w:r>
          </w:p>
          <w:p w14:paraId="4851BBE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19.153</w:t>
            </w:r>
          </w:p>
          <w:p w14:paraId="02A2B84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Sig=</w:t>
            </w:r>
          </w:p>
          <w:p w14:paraId="3784657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0.001</w:t>
            </w:r>
          </w:p>
        </w:tc>
      </w:tr>
      <w:tr w:rsidR="00551B5D" w:rsidRPr="00320D65" w14:paraId="6314FCA2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BC10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880AE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7C51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21.6%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1F16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78.6%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5FC2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6CC1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5AB168F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7D2A0630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CCD6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1FB7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931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ECBA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8267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6806F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Merge/>
            <w:shd w:val="clear" w:color="auto" w:fill="FFFFFF"/>
          </w:tcPr>
          <w:p w14:paraId="39E0B91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09BB482D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C674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31B2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4C95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D986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66.7%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FB7F6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33.3%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46FA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424C71E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5EFBCEAE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C954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6AD3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DF4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5D84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7C13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C1A2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vMerge/>
            <w:shd w:val="clear" w:color="auto" w:fill="FFFFFF"/>
          </w:tcPr>
          <w:p w14:paraId="3163DC0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73E79F0E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4CB8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706CC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A08C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0079B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A21C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E569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544B9D8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5F7B6C30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DD9D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9F8F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13E5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00D62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3CA5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vMerge/>
            <w:shd w:val="clear" w:color="auto" w:fill="FFFFFF"/>
          </w:tcPr>
          <w:p w14:paraId="51164C5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6BAC1663" w14:textId="77777777" w:rsidTr="00D2302F">
        <w:trPr>
          <w:cantSplit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F24B5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40797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68.2%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144B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22.7%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3602E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9.1%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B7E9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5" w:type="dxa"/>
            <w:vMerge/>
            <w:shd w:val="clear" w:color="auto" w:fill="FFFFFF"/>
          </w:tcPr>
          <w:p w14:paraId="54D432C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3E3D2F8" w14:textId="77777777" w:rsidR="00551B5D" w:rsidRPr="001C19BA" w:rsidRDefault="00551B5D" w:rsidP="00551B5D">
      <w:pPr>
        <w:autoSpaceDE w:val="0"/>
        <w:autoSpaceDN w:val="0"/>
        <w:adjustRightInd w:val="0"/>
        <w:spacing w:after="0" w:line="480" w:lineRule="auto"/>
        <w:ind w:left="709"/>
        <w:rPr>
          <w:rFonts w:cstheme="minorHAnsi"/>
          <w:sz w:val="24"/>
          <w:szCs w:val="24"/>
          <w:lang w:val="id-ID"/>
        </w:rPr>
      </w:pPr>
      <w:proofErr w:type="spellStart"/>
      <w:proofErr w:type="gramStart"/>
      <w:r w:rsidRPr="00320D65">
        <w:rPr>
          <w:rFonts w:cstheme="minorHAnsi"/>
          <w:sz w:val="24"/>
          <w:szCs w:val="24"/>
        </w:rPr>
        <w:t>Sumber</w:t>
      </w:r>
      <w:proofErr w:type="spellEnd"/>
      <w:r w:rsidRPr="00320D65">
        <w:rPr>
          <w:rFonts w:cstheme="minorHAnsi"/>
          <w:sz w:val="24"/>
          <w:szCs w:val="24"/>
        </w:rPr>
        <w:t xml:space="preserve"> :</w:t>
      </w:r>
      <w:r w:rsidRPr="00320D65">
        <w:rPr>
          <w:rFonts w:cstheme="minorHAnsi"/>
          <w:sz w:val="24"/>
          <w:szCs w:val="24"/>
          <w:lang w:val="id-ID"/>
        </w:rPr>
        <w:t>Data</w:t>
      </w:r>
      <w:proofErr w:type="gramEnd"/>
      <w:r w:rsidRPr="00320D65">
        <w:rPr>
          <w:rFonts w:cstheme="minorHAnsi"/>
          <w:sz w:val="24"/>
          <w:szCs w:val="24"/>
        </w:rPr>
        <w:t xml:space="preserve"> Primer, 2019</w:t>
      </w:r>
    </w:p>
    <w:p w14:paraId="16214971" w14:textId="77777777" w:rsidR="00551B5D" w:rsidRPr="00320D65" w:rsidRDefault="00551B5D" w:rsidP="00551B5D">
      <w:pPr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color w:val="000000"/>
          <w:spacing w:val="1"/>
          <w:sz w:val="24"/>
          <w:szCs w:val="24"/>
        </w:rPr>
        <w:t>Tabel</w:t>
      </w:r>
      <w:proofErr w:type="spellEnd"/>
      <w:r>
        <w:rPr>
          <w:rFonts w:cstheme="minorHAnsi"/>
          <w:b/>
          <w:color w:val="000000"/>
          <w:spacing w:val="1"/>
          <w:sz w:val="24"/>
          <w:szCs w:val="24"/>
        </w:rPr>
        <w:t xml:space="preserve"> 4.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Tabulasi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silang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antara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kebiasaan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merokok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dengan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status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kalkulus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gigi</w:t>
      </w:r>
      <w:proofErr w:type="spellEnd"/>
    </w:p>
    <w:p w14:paraId="160B2342" w14:textId="77777777" w:rsidR="00551B5D" w:rsidRPr="00320D65" w:rsidRDefault="00551B5D" w:rsidP="00551B5D">
      <w:pPr>
        <w:spacing w:after="0" w:line="240" w:lineRule="auto"/>
        <w:rPr>
          <w:rFonts w:eastAsia="Times New Roman" w:cstheme="minorHAnsi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7230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196"/>
        <w:gridCol w:w="992"/>
        <w:gridCol w:w="1134"/>
        <w:gridCol w:w="992"/>
        <w:gridCol w:w="1418"/>
        <w:gridCol w:w="1418"/>
      </w:tblGrid>
      <w:tr w:rsidR="00551B5D" w:rsidRPr="00320D65" w14:paraId="06D235AB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45F1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t>Kebiasaan</w:t>
            </w:r>
            <w:proofErr w:type="spellEnd"/>
            <w:r w:rsidRPr="00320D6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D65">
              <w:rPr>
                <w:rFonts w:cstheme="minorHAnsi"/>
                <w:b/>
                <w:bCs/>
                <w:sz w:val="24"/>
                <w:szCs w:val="24"/>
              </w:rPr>
              <w:t>Merokok</w:t>
            </w:r>
            <w:proofErr w:type="spellEnd"/>
          </w:p>
        </w:tc>
        <w:tc>
          <w:tcPr>
            <w:tcW w:w="311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D0AD1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Status </w:t>
            </w:r>
            <w:proofErr w:type="spellStart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>Kalkulus</w:t>
            </w:r>
            <w:proofErr w:type="spellEnd"/>
            <w:r w:rsidRPr="00320D65">
              <w:rPr>
                <w:rFonts w:cstheme="minorHAnsi"/>
                <w:b/>
                <w:color w:val="000000"/>
                <w:sz w:val="24"/>
                <w:szCs w:val="24"/>
              </w:rPr>
              <w:t xml:space="preserve"> Gigi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8D9DA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EE6F0F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Uji </w:t>
            </w: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Korelasi</w:t>
            </w:r>
            <w:proofErr w:type="spellEnd"/>
          </w:p>
          <w:p w14:paraId="7CB6AB2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ordinal by ordinal</w:t>
            </w:r>
          </w:p>
        </w:tc>
      </w:tr>
      <w:tr w:rsidR="00551B5D" w:rsidRPr="00320D65" w14:paraId="531CFAB2" w14:textId="77777777" w:rsidTr="00D2302F">
        <w:trPr>
          <w:cantSplit/>
          <w:tblHeader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1A3E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8E8D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Baik</w:t>
            </w:r>
            <w:proofErr w:type="spellEnd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A8FB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1793F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1418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93CDE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04E339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7DF88474" w14:textId="77777777" w:rsidTr="00D2302F">
        <w:trPr>
          <w:cantSplit/>
          <w:tblHeader/>
        </w:trPr>
        <w:tc>
          <w:tcPr>
            <w:tcW w:w="8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A614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27DC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Ringan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A0938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8D0D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10C3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D9B3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AF7E6D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5FC05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Spearman correlation</w:t>
            </w:r>
          </w:p>
          <w:p w14:paraId="3B61A0B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color w:val="000000" w:themeColor="text1"/>
                <w:kern w:val="24"/>
                <w:sz w:val="24"/>
                <w:szCs w:val="24"/>
                <w:lang w:val="sv-SE"/>
              </w:rPr>
            </w:pPr>
          </w:p>
          <w:p w14:paraId="2B5F7CC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Value=0.674</w:t>
            </w:r>
          </w:p>
          <w:p w14:paraId="094382A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i/>
                <w:color w:val="000000" w:themeColor="text1"/>
                <w:kern w:val="24"/>
                <w:sz w:val="24"/>
                <w:szCs w:val="24"/>
                <w:lang w:val="sv-SE"/>
              </w:rPr>
              <w:t>Sig=0.001</w:t>
            </w:r>
          </w:p>
        </w:tc>
      </w:tr>
      <w:tr w:rsidR="00551B5D" w:rsidRPr="00320D65" w14:paraId="03C06651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E480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E385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44ED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71.4%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1D49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26.6%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5851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E995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vMerge/>
            <w:shd w:val="clear" w:color="auto" w:fill="FFFFFF"/>
          </w:tcPr>
          <w:p w14:paraId="6B0D995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209725F8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1DE7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00EB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Sedang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13EA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6D3AA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0C68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E08E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shd w:val="clear" w:color="auto" w:fill="FFFFFF"/>
          </w:tcPr>
          <w:p w14:paraId="0F28858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35873FE7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986F1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A909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B98C0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CC7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6500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A957A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vMerge/>
            <w:shd w:val="clear" w:color="auto" w:fill="FFFFFF"/>
          </w:tcPr>
          <w:p w14:paraId="4693F76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3D58A901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B42B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ADFA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Berat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3424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3004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4F67A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78DA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shd w:val="clear" w:color="auto" w:fill="FFFFFF"/>
          </w:tcPr>
          <w:p w14:paraId="0011939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53A43FB4" w14:textId="77777777" w:rsidTr="00D2302F">
        <w:trPr>
          <w:cantSplit/>
          <w:tblHeader/>
        </w:trPr>
        <w:tc>
          <w:tcPr>
            <w:tcW w:w="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8635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77E70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A37E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F48A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42D6D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386AA4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vMerge/>
            <w:shd w:val="clear" w:color="auto" w:fill="FFFFFF"/>
          </w:tcPr>
          <w:p w14:paraId="435FF76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1F69AB16" w14:textId="77777777" w:rsidTr="00D2302F">
        <w:trPr>
          <w:cantSplit/>
          <w:tblHeader/>
        </w:trPr>
        <w:tc>
          <w:tcPr>
            <w:tcW w:w="1276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CC92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F066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4D68A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7260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FBAA3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vMerge/>
            <w:shd w:val="clear" w:color="auto" w:fill="FFFFFF"/>
          </w:tcPr>
          <w:p w14:paraId="33BE1CF5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15631C39" w14:textId="77777777" w:rsidTr="00D2302F">
        <w:trPr>
          <w:cantSplit/>
        </w:trPr>
        <w:tc>
          <w:tcPr>
            <w:tcW w:w="1276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53AC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D426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45.5%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86BC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54.5%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B009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2782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18" w:type="dxa"/>
            <w:vMerge/>
            <w:shd w:val="clear" w:color="auto" w:fill="FFFFFF"/>
          </w:tcPr>
          <w:p w14:paraId="709814C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48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163E7414" w14:textId="77777777" w:rsidR="00551B5D" w:rsidRPr="001C19BA" w:rsidRDefault="00551B5D" w:rsidP="00551B5D">
      <w:pPr>
        <w:autoSpaceDE w:val="0"/>
        <w:autoSpaceDN w:val="0"/>
        <w:adjustRightInd w:val="0"/>
        <w:spacing w:after="0" w:line="480" w:lineRule="auto"/>
        <w:ind w:left="709"/>
        <w:rPr>
          <w:rFonts w:cstheme="minorHAnsi"/>
          <w:sz w:val="24"/>
          <w:szCs w:val="24"/>
          <w:lang w:val="id-ID"/>
        </w:rPr>
      </w:pPr>
      <w:proofErr w:type="spellStart"/>
      <w:proofErr w:type="gramStart"/>
      <w:r w:rsidRPr="00320D65">
        <w:rPr>
          <w:rFonts w:cstheme="minorHAnsi"/>
          <w:sz w:val="24"/>
          <w:szCs w:val="24"/>
        </w:rPr>
        <w:t>Sumber</w:t>
      </w:r>
      <w:proofErr w:type="spellEnd"/>
      <w:r w:rsidRPr="00320D65">
        <w:rPr>
          <w:rFonts w:cstheme="minorHAnsi"/>
          <w:sz w:val="24"/>
          <w:szCs w:val="24"/>
        </w:rPr>
        <w:t xml:space="preserve"> :</w:t>
      </w:r>
      <w:r w:rsidRPr="00320D65">
        <w:rPr>
          <w:rFonts w:cstheme="minorHAnsi"/>
          <w:sz w:val="24"/>
          <w:szCs w:val="24"/>
          <w:lang w:val="id-ID"/>
        </w:rPr>
        <w:t>Data</w:t>
      </w:r>
      <w:proofErr w:type="gramEnd"/>
      <w:r w:rsidRPr="00320D65">
        <w:rPr>
          <w:rFonts w:cstheme="minorHAnsi"/>
          <w:sz w:val="24"/>
          <w:szCs w:val="24"/>
        </w:rPr>
        <w:t xml:space="preserve"> Primer, 2019</w:t>
      </w:r>
    </w:p>
    <w:p w14:paraId="74F7CDAC" w14:textId="77777777" w:rsidR="00551B5D" w:rsidRPr="00320D65" w:rsidRDefault="00551B5D" w:rsidP="00551B5D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color w:val="000000"/>
          <w:spacing w:val="1"/>
          <w:sz w:val="24"/>
          <w:szCs w:val="24"/>
        </w:rPr>
        <w:t>Tabel</w:t>
      </w:r>
      <w:proofErr w:type="spellEnd"/>
      <w:r>
        <w:rPr>
          <w:rFonts w:cstheme="minorHAnsi"/>
          <w:b/>
          <w:color w:val="000000"/>
          <w:spacing w:val="1"/>
          <w:sz w:val="24"/>
          <w:szCs w:val="24"/>
        </w:rPr>
        <w:t xml:space="preserve"> 5. </w:t>
      </w:r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Hasil uji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alternatif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anova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dengan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uji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krukalls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wallis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terhadap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pacing w:val="1"/>
          <w:sz w:val="24"/>
          <w:szCs w:val="24"/>
        </w:rPr>
        <w:t>perbedaan</w:t>
      </w:r>
      <w:proofErr w:type="spellEnd"/>
      <w:r w:rsidRPr="00320D65">
        <w:rPr>
          <w:rFonts w:cstheme="minorHAnsi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kalkulus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gigi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pada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mahasiswa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bukan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perokok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dengan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mahasiswa</w:t>
      </w:r>
      <w:proofErr w:type="spellEnd"/>
      <w:r w:rsidRPr="00320D65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320D65">
        <w:rPr>
          <w:rFonts w:cstheme="minorHAnsi"/>
          <w:b/>
          <w:color w:val="000000"/>
          <w:sz w:val="24"/>
          <w:szCs w:val="24"/>
        </w:rPr>
        <w:t>perokok</w:t>
      </w:r>
      <w:proofErr w:type="spellEnd"/>
    </w:p>
    <w:p w14:paraId="619A3858" w14:textId="77777777" w:rsidR="00551B5D" w:rsidRPr="00320D65" w:rsidRDefault="00551B5D" w:rsidP="00551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71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693"/>
        <w:gridCol w:w="567"/>
        <w:gridCol w:w="850"/>
        <w:gridCol w:w="1560"/>
      </w:tblGrid>
      <w:tr w:rsidR="00551B5D" w:rsidRPr="00320D65" w14:paraId="0886F435" w14:textId="77777777" w:rsidTr="00D2302F">
        <w:trPr>
          <w:cantSplit/>
          <w:trHeight w:val="340"/>
          <w:tblHeader/>
        </w:trPr>
        <w:tc>
          <w:tcPr>
            <w:tcW w:w="43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0615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KELOMPOK NON PEROKOK &gt;&lt; PEROKOK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53D4A6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1B00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Mean Rank</w:t>
            </w:r>
          </w:p>
        </w:tc>
        <w:tc>
          <w:tcPr>
            <w:tcW w:w="15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9BFB6E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Uji</w:t>
            </w:r>
          </w:p>
          <w:p w14:paraId="4909657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Chi-Square</w:t>
            </w:r>
          </w:p>
        </w:tc>
      </w:tr>
      <w:tr w:rsidR="00551B5D" w:rsidRPr="00320D65" w14:paraId="654EC5DE" w14:textId="77777777" w:rsidTr="00D2302F">
        <w:trPr>
          <w:cantSplit/>
          <w:trHeight w:val="340"/>
          <w:tblHeader/>
        </w:trPr>
        <w:tc>
          <w:tcPr>
            <w:tcW w:w="17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3448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NILAI KALKULUS</w:t>
            </w:r>
          </w:p>
        </w:tc>
        <w:tc>
          <w:tcPr>
            <w:tcW w:w="26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906D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KELOMPOK NON PEROKOK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088CD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F33E7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18.23</w:t>
            </w:r>
          </w:p>
        </w:tc>
        <w:tc>
          <w:tcPr>
            <w:tcW w:w="156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C46CFB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Chi Square = 5.012</w:t>
            </w:r>
          </w:p>
          <w:p w14:paraId="739AFB5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20D65">
              <w:rPr>
                <w:rFonts w:cstheme="minorHAnsi"/>
                <w:color w:val="000000"/>
                <w:sz w:val="24"/>
                <w:szCs w:val="24"/>
              </w:rPr>
              <w:t>Asym.Sig</w:t>
            </w:r>
            <w:proofErr w:type="spellEnd"/>
            <w:r w:rsidRPr="00320D65">
              <w:rPr>
                <w:rFonts w:cstheme="minorHAnsi"/>
                <w:color w:val="000000"/>
                <w:sz w:val="24"/>
                <w:szCs w:val="24"/>
              </w:rPr>
              <w:t>=</w:t>
            </w:r>
          </w:p>
          <w:p w14:paraId="1BAA0A0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0.025</w:t>
            </w:r>
          </w:p>
        </w:tc>
      </w:tr>
      <w:tr w:rsidR="00551B5D" w:rsidRPr="00320D65" w14:paraId="0756B329" w14:textId="77777777" w:rsidTr="00D2302F">
        <w:trPr>
          <w:cantSplit/>
          <w:trHeight w:val="340"/>
          <w:tblHeader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09B902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0B2FA9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KELOMPOK PEROKOK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302723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1ACC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26.77</w:t>
            </w:r>
          </w:p>
        </w:tc>
        <w:tc>
          <w:tcPr>
            <w:tcW w:w="1560" w:type="dxa"/>
            <w:vMerge/>
            <w:tcBorders>
              <w:right w:val="single" w:sz="16" w:space="0" w:color="000000"/>
            </w:tcBorders>
            <w:shd w:val="clear" w:color="auto" w:fill="FFFFFF"/>
          </w:tcPr>
          <w:p w14:paraId="77C2CD9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1B5D" w:rsidRPr="00320D65" w14:paraId="29DE2190" w14:textId="77777777" w:rsidTr="00D2302F">
        <w:trPr>
          <w:cantSplit/>
          <w:trHeight w:val="340"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23D2EF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FE6A8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0679D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320D65">
              <w:rPr>
                <w:rFonts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3CECB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913D01" w14:textId="77777777" w:rsidR="00551B5D" w:rsidRPr="00320D65" w:rsidRDefault="00551B5D" w:rsidP="00D230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123AC04" w14:textId="77777777" w:rsidR="00551B5D" w:rsidRPr="00551B5D" w:rsidRDefault="00551B5D" w:rsidP="00551B5D">
      <w:pPr>
        <w:jc w:val="both"/>
        <w:rPr>
          <w:b/>
          <w:bCs/>
        </w:rPr>
      </w:pPr>
    </w:p>
    <w:sectPr w:rsidR="00551B5D" w:rsidRPr="0055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570DA"/>
    <w:multiLevelType w:val="hybridMultilevel"/>
    <w:tmpl w:val="8C0C39AE"/>
    <w:lvl w:ilvl="0" w:tplc="99A253C6">
      <w:start w:val="1"/>
      <w:numFmt w:val="lowerLetter"/>
      <w:lvlText w:val="%1."/>
      <w:lvlJc w:val="left"/>
      <w:pPr>
        <w:ind w:left="1571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BCCC7442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D6BA24B6">
      <w:start w:val="1"/>
      <w:numFmt w:val="lowerLetter"/>
      <w:lvlText w:val="%4)"/>
      <w:lvlJc w:val="left"/>
      <w:pPr>
        <w:ind w:left="3731" w:hanging="360"/>
      </w:pPr>
      <w:rPr>
        <w:rFonts w:hint="default"/>
      </w:rPr>
    </w:lvl>
    <w:lvl w:ilvl="4" w:tplc="182EF426">
      <w:start w:val="1"/>
      <w:numFmt w:val="decimal"/>
      <w:lvlText w:val="%5."/>
      <w:lvlJc w:val="left"/>
      <w:pPr>
        <w:ind w:left="4451" w:hanging="360"/>
      </w:pPr>
      <w:rPr>
        <w:rFonts w:eastAsia="Calibri" w:hint="default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5D"/>
    <w:rsid w:val="00551B5D"/>
    <w:rsid w:val="006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2196"/>
  <w15:chartTrackingRefBased/>
  <w15:docId w15:val="{5A277A6A-0AE9-4AB4-86BF-CBAE142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51B5D"/>
    <w:rPr>
      <w:rFonts w:ascii="Georgia" w:hAnsi="Georgia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551B5D"/>
    <w:pPr>
      <w:spacing w:after="200" w:line="276" w:lineRule="auto"/>
      <w:ind w:left="720"/>
      <w:contextualSpacing/>
    </w:pPr>
    <w:rPr>
      <w:rFonts w:ascii="Calibri" w:eastAsia="PMingLiU" w:hAnsi="Calibri" w:cs="Times New Roman"/>
      <w:lang w:val="en-US"/>
    </w:rPr>
  </w:style>
  <w:style w:type="character" w:customStyle="1" w:styleId="ListParagraphChar">
    <w:name w:val="List Paragraph Char"/>
    <w:link w:val="ListParagraph"/>
    <w:locked/>
    <w:rsid w:val="00551B5D"/>
    <w:rPr>
      <w:rFonts w:ascii="Calibri" w:eastAsia="PMingLiU" w:hAnsi="Calibri" w:cs="Times New Roman"/>
      <w:lang w:val="en-US"/>
    </w:rPr>
  </w:style>
  <w:style w:type="table" w:styleId="TableGrid">
    <w:name w:val="Table Grid"/>
    <w:basedOn w:val="TableNormal"/>
    <w:uiPriority w:val="59"/>
    <w:rsid w:val="00551B5D"/>
    <w:pPr>
      <w:spacing w:after="0" w:line="240" w:lineRule="auto"/>
    </w:pPr>
    <w:rPr>
      <w:rFonts w:ascii="Calibri" w:eastAsia="PMingLiU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wahyuni dyah parmasari</dc:creator>
  <cp:keywords/>
  <dc:description/>
  <cp:lastModifiedBy>wahyuni dyah parmasari</cp:lastModifiedBy>
  <cp:revision>1</cp:revision>
  <dcterms:created xsi:type="dcterms:W3CDTF">2021-10-13T23:15:00Z</dcterms:created>
  <dcterms:modified xsi:type="dcterms:W3CDTF">2021-10-13T23:16:00Z</dcterms:modified>
</cp:coreProperties>
</file>